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61"/>
        <w:gridCol w:w="1357"/>
        <w:gridCol w:w="3874"/>
        <w:gridCol w:w="3875"/>
      </w:tblGrid>
      <w:tr w:rsidR="00EC3321" w:rsidTr="00E90662">
        <w:tc>
          <w:tcPr>
            <w:tcW w:w="3308" w:type="dxa"/>
            <w:gridSpan w:val="3"/>
          </w:tcPr>
          <w:p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36682D">
              <w:rPr>
                <w:sz w:val="20"/>
                <w:szCs w:val="20"/>
              </w:rPr>
              <w:t xml:space="preserve">5 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Term</w:t>
            </w:r>
          </w:p>
        </w:tc>
        <w:tc>
          <w:tcPr>
            <w:tcW w:w="3875" w:type="dxa"/>
          </w:tcPr>
          <w:p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 Term</w:t>
            </w:r>
          </w:p>
        </w:tc>
      </w:tr>
      <w:tr w:rsidR="00EC3321" w:rsidTr="00E90662">
        <w:tc>
          <w:tcPr>
            <w:tcW w:w="3308" w:type="dxa"/>
            <w:gridSpan w:val="3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36682D" w:rsidP="0036682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</w:t>
            </w:r>
          </w:p>
        </w:tc>
        <w:tc>
          <w:tcPr>
            <w:tcW w:w="3875" w:type="dxa"/>
          </w:tcPr>
          <w:p w:rsidR="00EC3321" w:rsidRPr="00EC3321" w:rsidRDefault="00466DA2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and Deliver!</w:t>
            </w:r>
          </w:p>
        </w:tc>
      </w:tr>
      <w:tr w:rsidR="00EC3321" w:rsidTr="00E90662">
        <w:tc>
          <w:tcPr>
            <w:tcW w:w="3308" w:type="dxa"/>
            <w:gridSpan w:val="3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05180F" w:rsidP="0036682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Cadbury W</w:t>
            </w:r>
            <w:r w:rsidR="0036682D">
              <w:rPr>
                <w:sz w:val="20"/>
                <w:szCs w:val="20"/>
              </w:rPr>
              <w:t>orld</w:t>
            </w:r>
            <w:r w:rsidR="008C3717">
              <w:rPr>
                <w:sz w:val="20"/>
                <w:szCs w:val="20"/>
              </w:rPr>
              <w:t xml:space="preserve"> (TBC)</w:t>
            </w:r>
            <w:bookmarkStart w:id="0" w:name="_GoBack"/>
            <w:bookmarkEnd w:id="0"/>
          </w:p>
        </w:tc>
        <w:tc>
          <w:tcPr>
            <w:tcW w:w="3875" w:type="dxa"/>
          </w:tcPr>
          <w:p w:rsidR="00EC3321" w:rsidRPr="00EC3321" w:rsidRDefault="003E3205" w:rsidP="0036682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historian </w:t>
            </w:r>
          </w:p>
        </w:tc>
      </w:tr>
      <w:tr w:rsidR="00EC3321" w:rsidTr="00E90662">
        <w:tc>
          <w:tcPr>
            <w:tcW w:w="3308" w:type="dxa"/>
            <w:gridSpan w:val="3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Default="0036682D" w:rsidP="00474D7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our own chocolate</w:t>
            </w:r>
          </w:p>
          <w:p w:rsidR="0036682D" w:rsidRPr="00EC3321" w:rsidRDefault="0036682D" w:rsidP="00474D7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eating link</w:t>
            </w:r>
          </w:p>
        </w:tc>
        <w:tc>
          <w:tcPr>
            <w:tcW w:w="3875" w:type="dxa"/>
          </w:tcPr>
          <w:p w:rsidR="00EC3321" w:rsidRPr="00EC3321" w:rsidRDefault="00466DA2" w:rsidP="00CD32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Highway Man Poem, song and animation</w:t>
            </w:r>
          </w:p>
        </w:tc>
      </w:tr>
      <w:tr w:rsidR="001462C6" w:rsidTr="00E90662">
        <w:tc>
          <w:tcPr>
            <w:tcW w:w="3308" w:type="dxa"/>
            <w:gridSpan w:val="3"/>
          </w:tcPr>
          <w:p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:rsidR="0005180F" w:rsidRDefault="0005180F" w:rsidP="0005180F">
            <w:pPr>
              <w:pStyle w:val="NoSpacing"/>
              <w:numPr>
                <w:ilvl w:val="0"/>
                <w:numId w:val="18"/>
              </w:numPr>
              <w:ind w:left="23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Chocolate Touch</w:t>
            </w:r>
          </w:p>
          <w:p w:rsidR="001462C6" w:rsidRDefault="0081573F" w:rsidP="002A4F6C">
            <w:pPr>
              <w:pStyle w:val="NoSpacing"/>
              <w:numPr>
                <w:ilvl w:val="0"/>
                <w:numId w:val="18"/>
              </w:numPr>
              <w:ind w:left="23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7F1235">
              <w:rPr>
                <w:sz w:val="20"/>
                <w:szCs w:val="20"/>
              </w:rPr>
              <w:t>arlie and the chocolate factory</w:t>
            </w:r>
          </w:p>
          <w:p w:rsidR="00A45DE8" w:rsidRDefault="002A4F6C" w:rsidP="002A4F6C">
            <w:pPr>
              <w:pStyle w:val="NoSpacing"/>
              <w:numPr>
                <w:ilvl w:val="0"/>
                <w:numId w:val="18"/>
              </w:numPr>
              <w:ind w:left="23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Glass Elevator</w:t>
            </w:r>
          </w:p>
          <w:p w:rsidR="0081573F" w:rsidRDefault="00A45DE8" w:rsidP="002A4F6C">
            <w:pPr>
              <w:pStyle w:val="NoSpacing"/>
              <w:numPr>
                <w:ilvl w:val="0"/>
                <w:numId w:val="18"/>
              </w:numPr>
              <w:ind w:left="23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Chocolate: A sweet history</w:t>
            </w:r>
            <w:r w:rsidR="002A4F6C">
              <w:rPr>
                <w:sz w:val="20"/>
                <w:szCs w:val="20"/>
              </w:rPr>
              <w:t xml:space="preserve"> </w:t>
            </w:r>
          </w:p>
          <w:p w:rsidR="005C53EE" w:rsidRPr="00EC3321" w:rsidRDefault="005C53EE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466DA2" w:rsidRPr="00466DA2" w:rsidRDefault="00466DA2" w:rsidP="00466DA2">
            <w:pPr>
              <w:pStyle w:val="NoSpacing"/>
              <w:numPr>
                <w:ilvl w:val="0"/>
                <w:numId w:val="18"/>
              </w:numPr>
              <w:ind w:left="18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Highway Man</w:t>
            </w:r>
          </w:p>
          <w:p w:rsidR="00466DA2" w:rsidRDefault="00466DA2" w:rsidP="00466DA2">
            <w:pPr>
              <w:pStyle w:val="NoSpacing"/>
              <w:numPr>
                <w:ilvl w:val="0"/>
                <w:numId w:val="18"/>
              </w:numPr>
              <w:ind w:left="18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Legend of Dick Turpin</w:t>
            </w:r>
          </w:p>
          <w:p w:rsidR="00465B52" w:rsidRPr="002C0412" w:rsidRDefault="00465B52" w:rsidP="00466DA2">
            <w:pPr>
              <w:pStyle w:val="NoSpacing"/>
              <w:numPr>
                <w:ilvl w:val="0"/>
                <w:numId w:val="18"/>
              </w:numPr>
              <w:ind w:left="18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Highway Rat</w:t>
            </w:r>
          </w:p>
        </w:tc>
      </w:tr>
      <w:tr w:rsidR="005C53EE" w:rsidTr="00E90662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gridSpan w:val="2"/>
          </w:tcPr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:rsidR="005C53EE" w:rsidRPr="00EC3321" w:rsidRDefault="00CF767E" w:rsidP="002A4F6C">
            <w:pPr>
              <w:pStyle w:val="NoSpacing"/>
              <w:numPr>
                <w:ilvl w:val="0"/>
                <w:numId w:val="21"/>
              </w:numPr>
              <w:ind w:left="23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3875" w:type="dxa"/>
          </w:tcPr>
          <w:p w:rsidR="0054359E" w:rsidRDefault="0005180F" w:rsidP="00466DA2">
            <w:pPr>
              <w:pStyle w:val="NoSpacing"/>
              <w:numPr>
                <w:ilvl w:val="0"/>
                <w:numId w:val="20"/>
              </w:numPr>
              <w:ind w:left="18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6DA2">
              <w:rPr>
                <w:sz w:val="20"/>
                <w:szCs w:val="20"/>
              </w:rPr>
              <w:t>Older literature</w:t>
            </w:r>
          </w:p>
          <w:p w:rsidR="00466DA2" w:rsidRDefault="00466DA2" w:rsidP="00466DA2">
            <w:pPr>
              <w:pStyle w:val="NoSpacing"/>
              <w:numPr>
                <w:ilvl w:val="0"/>
                <w:numId w:val="20"/>
              </w:numPr>
              <w:ind w:left="18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Legends</w:t>
            </w:r>
          </w:p>
          <w:p w:rsidR="00466DA2" w:rsidRPr="00466DA2" w:rsidRDefault="00466DA2" w:rsidP="00466DA2">
            <w:pPr>
              <w:pStyle w:val="NoSpacing"/>
              <w:ind w:left="189"/>
              <w:rPr>
                <w:sz w:val="20"/>
                <w:szCs w:val="20"/>
              </w:rPr>
            </w:pPr>
          </w:p>
        </w:tc>
      </w:tr>
      <w:tr w:rsidR="0005180F" w:rsidTr="00E90662">
        <w:trPr>
          <w:cantSplit/>
          <w:trHeight w:val="608"/>
        </w:trPr>
        <w:tc>
          <w:tcPr>
            <w:tcW w:w="1890" w:type="dxa"/>
            <w:vMerge/>
            <w:textDirection w:val="btLr"/>
          </w:tcPr>
          <w:p w:rsidR="0005180F" w:rsidRPr="00EC3321" w:rsidRDefault="0005180F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180F" w:rsidRDefault="0005180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</w:tcPr>
          <w:p w:rsidR="0005180F" w:rsidRDefault="0005180F" w:rsidP="002A4F6C">
            <w:pPr>
              <w:pStyle w:val="NoSpacing"/>
              <w:numPr>
                <w:ilvl w:val="0"/>
                <w:numId w:val="21"/>
              </w:numPr>
              <w:ind w:left="23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  <w:p w:rsidR="00A45DE8" w:rsidRDefault="00A45DE8" w:rsidP="002A4F6C">
            <w:pPr>
              <w:pStyle w:val="NoSpacing"/>
              <w:numPr>
                <w:ilvl w:val="0"/>
                <w:numId w:val="21"/>
              </w:numPr>
              <w:ind w:left="23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text</w:t>
            </w:r>
          </w:p>
        </w:tc>
        <w:tc>
          <w:tcPr>
            <w:tcW w:w="3875" w:type="dxa"/>
          </w:tcPr>
          <w:p w:rsidR="0005180F" w:rsidRDefault="00466DA2" w:rsidP="00466DA2">
            <w:pPr>
              <w:pStyle w:val="NoSpacing"/>
              <w:numPr>
                <w:ilvl w:val="0"/>
                <w:numId w:val="20"/>
              </w:numPr>
              <w:ind w:left="18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Newspapers</w:t>
            </w:r>
          </w:p>
        </w:tc>
      </w:tr>
      <w:tr w:rsidR="00B07247" w:rsidTr="00E90662">
        <w:trPr>
          <w:cantSplit/>
          <w:trHeight w:val="608"/>
        </w:trPr>
        <w:tc>
          <w:tcPr>
            <w:tcW w:w="1890" w:type="dxa"/>
            <w:vMerge/>
            <w:textDirection w:val="btLr"/>
          </w:tcPr>
          <w:p w:rsidR="00B07247" w:rsidRPr="00EC3321" w:rsidRDefault="00B07247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7247" w:rsidRDefault="00B0724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</w:tcPr>
          <w:p w:rsidR="00B07247" w:rsidRDefault="00B07247" w:rsidP="002A4F6C">
            <w:pPr>
              <w:pStyle w:val="NoSpacing"/>
              <w:numPr>
                <w:ilvl w:val="0"/>
                <w:numId w:val="21"/>
              </w:numPr>
              <w:ind w:left="23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Raps</w:t>
            </w:r>
          </w:p>
        </w:tc>
        <w:tc>
          <w:tcPr>
            <w:tcW w:w="3875" w:type="dxa"/>
          </w:tcPr>
          <w:p w:rsidR="00B07247" w:rsidRDefault="00B07247" w:rsidP="00466DA2">
            <w:pPr>
              <w:pStyle w:val="NoSpacing"/>
              <w:numPr>
                <w:ilvl w:val="0"/>
                <w:numId w:val="20"/>
              </w:numPr>
              <w:ind w:left="18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poetry</w:t>
            </w:r>
          </w:p>
          <w:p w:rsidR="00B07247" w:rsidRDefault="00B07247" w:rsidP="00466DA2">
            <w:pPr>
              <w:pStyle w:val="NoSpacing"/>
              <w:numPr>
                <w:ilvl w:val="0"/>
                <w:numId w:val="20"/>
              </w:numPr>
              <w:ind w:left="18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rap / jingle / podcast</w:t>
            </w:r>
          </w:p>
        </w:tc>
      </w:tr>
      <w:tr w:rsidR="002A4F6C" w:rsidTr="00385B73">
        <w:trPr>
          <w:cantSplit/>
          <w:trHeight w:val="1434"/>
        </w:trPr>
        <w:tc>
          <w:tcPr>
            <w:tcW w:w="1890" w:type="dxa"/>
            <w:textDirection w:val="btLr"/>
          </w:tcPr>
          <w:p w:rsidR="002A4F6C" w:rsidRPr="00EC3321" w:rsidRDefault="002A4F6C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</w:tcPr>
          <w:p w:rsidR="009819DF" w:rsidRPr="009819DF" w:rsidRDefault="00920405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and</w:t>
            </w:r>
            <w:r w:rsidR="009819DF" w:rsidRPr="009819DF">
              <w:rPr>
                <w:sz w:val="20"/>
                <w:szCs w:val="20"/>
              </w:rPr>
              <w:t xml:space="preserve"> Place Value </w:t>
            </w:r>
          </w:p>
          <w:p w:rsidR="009819DF" w:rsidRPr="009819DF" w:rsidRDefault="009819DF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819DF">
              <w:rPr>
                <w:sz w:val="20"/>
                <w:szCs w:val="20"/>
              </w:rPr>
              <w:t xml:space="preserve">Addition and Subtraction  </w:t>
            </w:r>
          </w:p>
          <w:p w:rsidR="00920405" w:rsidRDefault="009819DF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819DF">
              <w:rPr>
                <w:sz w:val="20"/>
                <w:szCs w:val="20"/>
              </w:rPr>
              <w:t>Multiplication and Division</w:t>
            </w:r>
          </w:p>
          <w:p w:rsidR="00920405" w:rsidRDefault="00920405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:rsidR="00920405" w:rsidRDefault="00920405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  <w:p w:rsidR="009819DF" w:rsidRPr="009819DF" w:rsidRDefault="00920405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  <w:r w:rsidR="009819DF" w:rsidRPr="009819DF">
              <w:rPr>
                <w:sz w:val="20"/>
                <w:szCs w:val="20"/>
              </w:rPr>
              <w:t xml:space="preserve"> </w:t>
            </w:r>
          </w:p>
          <w:p w:rsidR="002A4F6C" w:rsidRPr="00EC3321" w:rsidRDefault="009819DF" w:rsidP="009819D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u w:val="single"/>
              </w:rPr>
            </w:pPr>
            <w:r w:rsidRPr="009819DF">
              <w:rPr>
                <w:sz w:val="20"/>
                <w:szCs w:val="20"/>
              </w:rPr>
              <w:t>Statistics</w:t>
            </w:r>
          </w:p>
        </w:tc>
        <w:tc>
          <w:tcPr>
            <w:tcW w:w="3875" w:type="dxa"/>
            <w:tcBorders>
              <w:left w:val="nil"/>
            </w:tcBorders>
          </w:tcPr>
          <w:p w:rsidR="002A4F6C" w:rsidRPr="00EC3321" w:rsidRDefault="002A4F6C" w:rsidP="002A4F6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466DA2" w:rsidTr="009E56FB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466DA2" w:rsidRPr="00EC3321" w:rsidRDefault="00466DA2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  <w:gridSpan w:val="2"/>
          </w:tcPr>
          <w:p w:rsidR="00466DA2" w:rsidRPr="00EC3321" w:rsidRDefault="00466DA2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</w:tcPr>
          <w:p w:rsidR="00466DA2" w:rsidRPr="00EC3321" w:rsidRDefault="00466DA2" w:rsidP="00B0724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and change of materials</w:t>
            </w:r>
          </w:p>
        </w:tc>
      </w:tr>
      <w:tr w:rsidR="00466DA2" w:rsidTr="00DC4BC8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466DA2" w:rsidRPr="00EC3321" w:rsidRDefault="00466DA2" w:rsidP="002A4F6C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6DA2" w:rsidRPr="00EC3321" w:rsidRDefault="00466DA2" w:rsidP="002A4F6C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:rsidR="00466DA2" w:rsidRPr="00EC3321" w:rsidRDefault="00466DA2" w:rsidP="002A4F6C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7749" w:type="dxa"/>
            <w:gridSpan w:val="2"/>
          </w:tcPr>
          <w:p w:rsidR="00466DA2" w:rsidRPr="00BD6825" w:rsidRDefault="00466DA2" w:rsidP="00BD6825">
            <w:pPr>
              <w:pStyle w:val="ListParagraph"/>
              <w:numPr>
                <w:ilvl w:val="0"/>
                <w:numId w:val="32"/>
              </w:numPr>
              <w:tabs>
                <w:tab w:val="left" w:pos="175"/>
              </w:tabs>
              <w:rPr>
                <w:rFonts w:asciiTheme="minorHAnsi" w:hAnsiTheme="minorHAnsi" w:cs="Arial"/>
                <w:sz w:val="20"/>
                <w:szCs w:val="14"/>
              </w:rPr>
            </w:pPr>
            <w:r w:rsidRPr="00BD6825">
              <w:rPr>
                <w:rFonts w:asciiTheme="minorHAnsi" w:hAnsiTheme="minorHAnsi" w:cs="Arial"/>
                <w:sz w:val="20"/>
                <w:szCs w:val="20"/>
              </w:rPr>
              <w:t>Compare and group together everyday materials on the basis of their properties, including their hardness, solubility, transparency, conductivity (electrical and ther</w:t>
            </w:r>
            <w:r w:rsidR="00A03B32">
              <w:rPr>
                <w:rFonts w:asciiTheme="minorHAnsi" w:hAnsiTheme="minorHAnsi" w:cs="Arial"/>
                <w:sz w:val="20"/>
                <w:szCs w:val="20"/>
              </w:rPr>
              <w:t>mal)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response to magnets </w:t>
            </w:r>
          </w:p>
          <w:p w:rsidR="00466DA2" w:rsidRPr="00BD6825" w:rsidRDefault="00466DA2" w:rsidP="00BD6825">
            <w:pPr>
              <w:pStyle w:val="ListParagraph"/>
              <w:numPr>
                <w:ilvl w:val="0"/>
                <w:numId w:val="32"/>
              </w:numPr>
              <w:tabs>
                <w:tab w:val="left" w:pos="175"/>
              </w:tabs>
              <w:rPr>
                <w:rFonts w:asciiTheme="minorHAnsi" w:hAnsiTheme="minorHAnsi" w:cs="Arial"/>
                <w:sz w:val="20"/>
                <w:szCs w:val="14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BD6825">
              <w:rPr>
                <w:rFonts w:asciiTheme="minorHAnsi" w:hAnsiTheme="minorHAnsi" w:cs="Arial"/>
                <w:sz w:val="20"/>
                <w:szCs w:val="20"/>
              </w:rPr>
              <w:t xml:space="preserve">now that some materials will dissolve in liquid to form a solution, and describe how to recover a substance </w:t>
            </w:r>
            <w:r>
              <w:rPr>
                <w:rFonts w:asciiTheme="minorHAnsi" w:hAnsiTheme="minorHAnsi" w:cs="Arial"/>
                <w:sz w:val="20"/>
                <w:szCs w:val="20"/>
              </w:rPr>
              <w:t>from a solution </w:t>
            </w:r>
          </w:p>
          <w:p w:rsidR="00466DA2" w:rsidRPr="00BD6825" w:rsidRDefault="00466DA2" w:rsidP="00BD6825">
            <w:pPr>
              <w:pStyle w:val="ListParagraph"/>
              <w:numPr>
                <w:ilvl w:val="0"/>
                <w:numId w:val="32"/>
              </w:numPr>
              <w:tabs>
                <w:tab w:val="left" w:pos="1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BD6825">
              <w:rPr>
                <w:rFonts w:asciiTheme="minorHAnsi" w:hAnsiTheme="minorHAnsi" w:cs="Arial"/>
                <w:sz w:val="20"/>
                <w:szCs w:val="20"/>
              </w:rPr>
              <w:t>Use knowledge of solids, liquids and gases to decide how mixtures might be separated, including through filtering, sieving and evaporati</w:t>
            </w:r>
            <w:r w:rsidR="00A03B32">
              <w:rPr>
                <w:rFonts w:asciiTheme="minorHAnsi" w:hAnsiTheme="minorHAnsi" w:cs="Arial"/>
                <w:sz w:val="20"/>
                <w:szCs w:val="20"/>
              </w:rPr>
              <w:t>on</w:t>
            </w:r>
          </w:p>
          <w:p w:rsidR="00466DA2" w:rsidRPr="00BD6825" w:rsidRDefault="00466DA2" w:rsidP="00BD6825">
            <w:pPr>
              <w:pStyle w:val="ListParagraph"/>
              <w:numPr>
                <w:ilvl w:val="0"/>
                <w:numId w:val="32"/>
              </w:numPr>
              <w:tabs>
                <w:tab w:val="left" w:pos="175"/>
              </w:tabs>
              <w:rPr>
                <w:rFonts w:asciiTheme="minorHAnsi" w:hAnsiTheme="minorHAnsi" w:cs="Arial"/>
                <w:sz w:val="20"/>
                <w:szCs w:val="14"/>
              </w:rPr>
            </w:pPr>
            <w:r w:rsidRPr="00BD6825">
              <w:rPr>
                <w:rFonts w:asciiTheme="minorHAnsi" w:hAnsiTheme="minorHAnsi" w:cs="Arial"/>
                <w:sz w:val="20"/>
                <w:szCs w:val="20"/>
              </w:rPr>
              <w:t>Give reasons, based on evidence from comparative and fair tests, for the particular uses of everyday materials, including metals, wood and plastic</w:t>
            </w:r>
          </w:p>
          <w:p w:rsidR="00466DA2" w:rsidRPr="00BD6825" w:rsidRDefault="00466DA2" w:rsidP="00BD6825">
            <w:pPr>
              <w:pStyle w:val="ListParagraph"/>
              <w:numPr>
                <w:ilvl w:val="0"/>
                <w:numId w:val="32"/>
              </w:numPr>
              <w:tabs>
                <w:tab w:val="left" w:pos="175"/>
              </w:tabs>
              <w:rPr>
                <w:rFonts w:asciiTheme="minorHAnsi" w:hAnsiTheme="minorHAnsi" w:cs="Arial"/>
                <w:sz w:val="20"/>
                <w:szCs w:val="14"/>
              </w:rPr>
            </w:pPr>
            <w:r w:rsidRPr="00BD6825">
              <w:rPr>
                <w:rFonts w:asciiTheme="minorHAnsi" w:hAnsiTheme="minorHAnsi" w:cs="Arial"/>
                <w:sz w:val="20"/>
                <w:szCs w:val="20"/>
              </w:rPr>
              <w:t>Demonstrate that dissolving, mixing and changes of state are reversible changes</w:t>
            </w:r>
          </w:p>
          <w:p w:rsidR="00466DA2" w:rsidRPr="00465B52" w:rsidRDefault="00466DA2" w:rsidP="00465B52">
            <w:pPr>
              <w:pStyle w:val="ListParagraph"/>
              <w:numPr>
                <w:ilvl w:val="0"/>
                <w:numId w:val="32"/>
              </w:numPr>
              <w:tabs>
                <w:tab w:val="left" w:pos="28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65B52">
              <w:rPr>
                <w:rFonts w:asciiTheme="minorHAnsi" w:hAnsiTheme="minorHAnsi" w:cs="Arial"/>
                <w:sz w:val="20"/>
                <w:szCs w:val="20"/>
              </w:rPr>
              <w:t>Explain that some changes result in</w:t>
            </w:r>
            <w:r w:rsidR="00A03B32">
              <w:rPr>
                <w:rFonts w:asciiTheme="minorHAnsi" w:hAnsiTheme="minorHAnsi" w:cs="Arial"/>
                <w:sz w:val="20"/>
                <w:szCs w:val="20"/>
              </w:rPr>
              <w:t xml:space="preserve"> the formation of new materials</w:t>
            </w:r>
            <w:r w:rsidRPr="00465B52">
              <w:rPr>
                <w:rFonts w:asciiTheme="minorHAnsi" w:hAnsiTheme="minorHAnsi" w:cs="Arial"/>
                <w:sz w:val="20"/>
                <w:szCs w:val="20"/>
              </w:rPr>
              <w:t xml:space="preserve"> and that this kind of change is not usually reversible, including changes associated with burning and the action of acid on bicarbonate of soda</w:t>
            </w:r>
          </w:p>
          <w:p w:rsidR="00466DA2" w:rsidRPr="00466DA2" w:rsidRDefault="00466DA2" w:rsidP="00466DA2">
            <w:pPr>
              <w:tabs>
                <w:tab w:val="left" w:pos="28"/>
              </w:tabs>
              <w:ind w:left="175"/>
              <w:rPr>
                <w:sz w:val="20"/>
                <w:szCs w:val="18"/>
              </w:rPr>
            </w:pPr>
          </w:p>
        </w:tc>
      </w:tr>
      <w:tr w:rsidR="002A4F6C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2A4F6C" w:rsidRPr="00EC3321" w:rsidRDefault="002A4F6C" w:rsidP="002A4F6C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:rsidR="002A4F6C" w:rsidRPr="004477F6" w:rsidRDefault="00B9282D" w:rsidP="002A4F6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4477F6">
              <w:rPr>
                <w:rFonts w:ascii="Calibri" w:hAnsi="Calibri" w:cs="Calibri"/>
                <w:sz w:val="20"/>
                <w:szCs w:val="20"/>
              </w:rPr>
              <w:t>Why does milk go off?</w:t>
            </w:r>
          </w:p>
        </w:tc>
        <w:tc>
          <w:tcPr>
            <w:tcW w:w="3875" w:type="dxa"/>
          </w:tcPr>
          <w:p w:rsidR="002A4F6C" w:rsidRPr="00DE7EB1" w:rsidRDefault="00DE7EB1" w:rsidP="002A4F6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 you clean dirty water?</w:t>
            </w:r>
          </w:p>
        </w:tc>
      </w:tr>
      <w:tr w:rsidR="002A4F6C" w:rsidTr="00E90662">
        <w:tc>
          <w:tcPr>
            <w:tcW w:w="1890" w:type="dxa"/>
            <w:vMerge w:val="restart"/>
            <w:textDirection w:val="btLr"/>
          </w:tcPr>
          <w:p w:rsidR="002A4F6C" w:rsidRPr="00EC3321" w:rsidRDefault="002A4F6C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7B0D4B" w:rsidRPr="00B61FA8" w:rsidRDefault="007B0D4B" w:rsidP="00B07247">
            <w:pPr>
              <w:jc w:val="center"/>
              <w:rPr>
                <w:b/>
                <w:sz w:val="18"/>
              </w:rPr>
            </w:pPr>
            <w:r w:rsidRPr="00B61FA8">
              <w:rPr>
                <w:b/>
                <w:sz w:val="18"/>
              </w:rPr>
              <w:t>Networks:</w:t>
            </w:r>
          </w:p>
          <w:p w:rsidR="007B0D4B" w:rsidRPr="00A03B32" w:rsidRDefault="007B0D4B" w:rsidP="00B07247">
            <w:pPr>
              <w:jc w:val="center"/>
              <w:rPr>
                <w:sz w:val="20"/>
                <w:szCs w:val="20"/>
              </w:rPr>
            </w:pPr>
            <w:r w:rsidRPr="00A03B32">
              <w:rPr>
                <w:sz w:val="20"/>
                <w:szCs w:val="20"/>
              </w:rPr>
              <w:t>Computers and networks</w:t>
            </w:r>
          </w:p>
          <w:p w:rsidR="002A4F6C" w:rsidRPr="004477F6" w:rsidRDefault="002A4F6C" w:rsidP="00B07247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5" w:type="dxa"/>
          </w:tcPr>
          <w:p w:rsidR="007B0D4B" w:rsidRPr="00B61FA8" w:rsidRDefault="007B0D4B" w:rsidP="00B07247">
            <w:pPr>
              <w:jc w:val="center"/>
              <w:rPr>
                <w:b/>
                <w:sz w:val="18"/>
              </w:rPr>
            </w:pPr>
            <w:r w:rsidRPr="00B61FA8">
              <w:rPr>
                <w:b/>
                <w:sz w:val="18"/>
              </w:rPr>
              <w:t>Collaborate:</w:t>
            </w:r>
          </w:p>
          <w:p w:rsidR="002A4F6C" w:rsidRPr="00A03B32" w:rsidRDefault="007B0D4B" w:rsidP="00B07247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3B32">
              <w:rPr>
                <w:sz w:val="20"/>
                <w:szCs w:val="20"/>
              </w:rPr>
              <w:t>Online collaboration within the VLE / blogging</w:t>
            </w:r>
          </w:p>
        </w:tc>
      </w:tr>
      <w:tr w:rsidR="002A4F6C" w:rsidTr="00E90662">
        <w:tc>
          <w:tcPr>
            <w:tcW w:w="1890" w:type="dxa"/>
            <w:vMerge/>
            <w:textDirection w:val="btLr"/>
          </w:tcPr>
          <w:p w:rsidR="002A4F6C" w:rsidRPr="00EC3321" w:rsidRDefault="002A4F6C" w:rsidP="002A4F6C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A4F6C" w:rsidRDefault="002A4F6C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2A4F6C" w:rsidRPr="004477F6" w:rsidRDefault="00D661C3" w:rsidP="004477F6">
            <w:pPr>
              <w:pStyle w:val="NoSpacing"/>
              <w:numPr>
                <w:ilvl w:val="0"/>
                <w:numId w:val="29"/>
              </w:numPr>
              <w:ind w:left="88" w:hanging="1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="004477F6" w:rsidRPr="004477F6">
              <w:rPr>
                <w:rFonts w:ascii="Calibri" w:hAnsi="Calibri" w:cs="Calibri"/>
                <w:sz w:val="20"/>
                <w:szCs w:val="20"/>
              </w:rPr>
              <w:t>nderstand computer networks including the internet; how they can provide multiple services, such as the world wide web; and the opportunities they offer for communication and collaboration</w:t>
            </w:r>
            <w:r w:rsidR="007B0D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75" w:type="dxa"/>
          </w:tcPr>
          <w:p w:rsidR="002A4F6C" w:rsidRPr="004477F6" w:rsidRDefault="00D661C3" w:rsidP="004477F6">
            <w:pPr>
              <w:pStyle w:val="NoSpacing"/>
              <w:numPr>
                <w:ilvl w:val="0"/>
                <w:numId w:val="29"/>
              </w:numPr>
              <w:ind w:left="187" w:hanging="18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4477F6" w:rsidRPr="004477F6">
              <w:rPr>
                <w:rFonts w:ascii="Calibri" w:hAnsi="Calibri" w:cs="Calibri"/>
                <w:sz w:val="20"/>
                <w:szCs w:val="20"/>
              </w:rPr>
              <w:t>elect, use and combine a variety of software (including internet services) on a range of digital devices to design and create a range of programs, systems and content</w:t>
            </w:r>
          </w:p>
        </w:tc>
      </w:tr>
      <w:tr w:rsidR="002A4F6C" w:rsidTr="00E90662">
        <w:tc>
          <w:tcPr>
            <w:tcW w:w="1890" w:type="dxa"/>
            <w:vMerge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:rsidR="00DE7EB1" w:rsidRPr="00A03B32" w:rsidRDefault="0063671E" w:rsidP="002A4F6C">
            <w:pPr>
              <w:pStyle w:val="NoSpacing"/>
              <w:rPr>
                <w:sz w:val="20"/>
                <w:szCs w:val="20"/>
              </w:rPr>
            </w:pPr>
            <w:r w:rsidRPr="00A03B32">
              <w:rPr>
                <w:sz w:val="20"/>
                <w:szCs w:val="20"/>
              </w:rPr>
              <w:t>What are the dangers of providing personal information to others?</w:t>
            </w:r>
          </w:p>
        </w:tc>
        <w:tc>
          <w:tcPr>
            <w:tcW w:w="3875" w:type="dxa"/>
          </w:tcPr>
          <w:p w:rsidR="002A4F6C" w:rsidRPr="00A03B32" w:rsidRDefault="0063671E" w:rsidP="002A4F6C">
            <w:pPr>
              <w:pStyle w:val="NoSpacing"/>
              <w:rPr>
                <w:sz w:val="20"/>
                <w:szCs w:val="20"/>
              </w:rPr>
            </w:pPr>
            <w:r w:rsidRPr="00A03B32">
              <w:rPr>
                <w:sz w:val="20"/>
                <w:szCs w:val="20"/>
              </w:rPr>
              <w:t>Can you trust all information on the internet?</w:t>
            </w:r>
          </w:p>
        </w:tc>
      </w:tr>
      <w:tr w:rsidR="002A4F6C" w:rsidTr="00E90662">
        <w:tc>
          <w:tcPr>
            <w:tcW w:w="1890" w:type="dxa"/>
            <w:vMerge w:val="restart"/>
            <w:textDirection w:val="btLr"/>
          </w:tcPr>
          <w:p w:rsidR="002A4F6C" w:rsidRPr="00EC3321" w:rsidRDefault="002A4F6C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A4F6C" w:rsidRDefault="00A45DE8" w:rsidP="00A03B3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</w:t>
            </w:r>
            <w:r w:rsidR="00A03B32">
              <w:rPr>
                <w:sz w:val="20"/>
                <w:szCs w:val="20"/>
              </w:rPr>
              <w:t>North and South America</w:t>
            </w:r>
          </w:p>
          <w:p w:rsidR="002C16F0" w:rsidRDefault="002C16F0" w:rsidP="00A03B3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2A4F6C" w:rsidRPr="00EC3321" w:rsidRDefault="002A4F6C" w:rsidP="00A03B3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A4F6C" w:rsidRDefault="006C28E6" w:rsidP="00A03B3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Geographical Skills and Fieldwork (follow a treasure map)</w:t>
            </w:r>
          </w:p>
          <w:p w:rsidR="006C28E6" w:rsidRPr="00EC3321" w:rsidRDefault="006C28E6" w:rsidP="00A03B3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A4F6C" w:rsidTr="00E90662">
        <w:tc>
          <w:tcPr>
            <w:tcW w:w="1890" w:type="dxa"/>
            <w:vMerge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2A4F6C" w:rsidRPr="00A95BDE" w:rsidRDefault="00B07247" w:rsidP="00A45DE8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B0C0C"/>
                <w:sz w:val="20"/>
                <w:szCs w:val="29"/>
                <w:lang w:eastAsia="en-GB"/>
              </w:rPr>
              <w:t>Locate North and S</w:t>
            </w:r>
            <w:r w:rsidR="00A45DE8">
              <w:rPr>
                <w:rFonts w:eastAsia="Times New Roman" w:cs="Calibri"/>
                <w:color w:val="0B0C0C"/>
                <w:sz w:val="20"/>
                <w:szCs w:val="29"/>
                <w:lang w:eastAsia="en-GB"/>
              </w:rPr>
              <w:t xml:space="preserve">outh America and </w:t>
            </w:r>
            <w:r>
              <w:rPr>
                <w:rFonts w:eastAsia="Times New Roman" w:cs="Calibri"/>
                <w:color w:val="0B0C0C"/>
                <w:sz w:val="20"/>
                <w:szCs w:val="29"/>
                <w:lang w:eastAsia="en-GB"/>
              </w:rPr>
              <w:t xml:space="preserve">explore </w:t>
            </w:r>
            <w:r w:rsidR="00A45DE8">
              <w:rPr>
                <w:rFonts w:eastAsia="Times New Roman" w:cs="Calibri"/>
                <w:color w:val="0B0C0C"/>
                <w:sz w:val="20"/>
                <w:szCs w:val="29"/>
                <w:lang w:eastAsia="en-GB"/>
              </w:rPr>
              <w:t>their physical and human characteristics</w:t>
            </w:r>
          </w:p>
        </w:tc>
        <w:tc>
          <w:tcPr>
            <w:tcW w:w="3875" w:type="dxa"/>
          </w:tcPr>
          <w:p w:rsidR="002A4F6C" w:rsidRDefault="00B07247" w:rsidP="006C28E6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maps to locate features in</w:t>
            </w:r>
            <w:r w:rsidR="006C28E6">
              <w:rPr>
                <w:rFonts w:ascii="Calibri" w:hAnsi="Calibri" w:cs="Calibri"/>
                <w:sz w:val="20"/>
                <w:szCs w:val="20"/>
              </w:rPr>
              <w:t xml:space="preserve"> the local environment</w:t>
            </w:r>
          </w:p>
          <w:p w:rsidR="006C28E6" w:rsidRPr="00A95BDE" w:rsidRDefault="006C28E6" w:rsidP="006C28E6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the eight points of a compass, 4 and 6 grid references, symbols and key (including the use of OS maps to build their knowledge of the local area)</w:t>
            </w:r>
          </w:p>
        </w:tc>
      </w:tr>
      <w:tr w:rsidR="002A4F6C" w:rsidTr="00E90662">
        <w:tc>
          <w:tcPr>
            <w:tcW w:w="1890" w:type="dxa"/>
            <w:vMerge w:val="restart"/>
            <w:textDirection w:val="btLr"/>
          </w:tcPr>
          <w:p w:rsidR="002A4F6C" w:rsidRPr="00EC3321" w:rsidRDefault="002A4F6C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A4F6C" w:rsidRDefault="00A95BDE" w:rsidP="00B0724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Mexico – Aztecs </w:t>
            </w:r>
            <w:r w:rsidR="007F1235">
              <w:rPr>
                <w:sz w:val="20"/>
                <w:szCs w:val="20"/>
              </w:rPr>
              <w:t>linked to the history of chocolate</w:t>
            </w:r>
          </w:p>
          <w:p w:rsidR="002A4F6C" w:rsidRPr="00EC3321" w:rsidRDefault="002A4F6C" w:rsidP="00B0724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A4F6C" w:rsidRPr="00EC3321" w:rsidRDefault="005C1C7F" w:rsidP="00B0724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 Study</w:t>
            </w:r>
          </w:p>
        </w:tc>
      </w:tr>
      <w:tr w:rsidR="002A4F6C" w:rsidTr="00E90662">
        <w:tc>
          <w:tcPr>
            <w:tcW w:w="1890" w:type="dxa"/>
            <w:vMerge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2A4F6C" w:rsidRPr="00635352" w:rsidRDefault="00B07247" w:rsidP="00B9282D">
            <w:pPr>
              <w:pStyle w:val="NoSpacing"/>
              <w:numPr>
                <w:ilvl w:val="0"/>
                <w:numId w:val="27"/>
              </w:numPr>
              <w:ind w:left="230" w:hanging="23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B0C0C"/>
                <w:sz w:val="20"/>
                <w:szCs w:val="29"/>
                <w:shd w:val="clear" w:color="auto" w:fill="FFFFFF"/>
              </w:rPr>
              <w:t>Explore a</w:t>
            </w:r>
            <w:r w:rsidR="00B9282D" w:rsidRPr="00B9282D">
              <w:rPr>
                <w:rFonts w:ascii="Calibri" w:hAnsi="Calibri" w:cs="Calibri"/>
                <w:color w:val="0B0C0C"/>
                <w:sz w:val="20"/>
                <w:szCs w:val="29"/>
                <w:shd w:val="clear" w:color="auto" w:fill="FFFFFF"/>
              </w:rPr>
              <w:t xml:space="preserve"> non-European society that provides contrasts with British history</w:t>
            </w:r>
            <w:r w:rsidR="00B9282D">
              <w:rPr>
                <w:rFonts w:ascii="Calibri" w:hAnsi="Calibri" w:cs="Calibri"/>
                <w:color w:val="0B0C0C"/>
                <w:sz w:val="20"/>
                <w:szCs w:val="29"/>
                <w:shd w:val="clear" w:color="auto" w:fill="FFFFFF"/>
              </w:rPr>
              <w:t xml:space="preserve"> </w:t>
            </w:r>
          </w:p>
          <w:p w:rsidR="00635352" w:rsidRPr="00B9282D" w:rsidRDefault="00635352" w:rsidP="00CD32D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5" w:type="dxa"/>
          </w:tcPr>
          <w:p w:rsidR="002A4F6C" w:rsidRPr="00A90AB9" w:rsidRDefault="00A03B32" w:rsidP="005C1C7F">
            <w:pPr>
              <w:pStyle w:val="NoSpacing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B0C0C"/>
                <w:sz w:val="20"/>
                <w:szCs w:val="29"/>
                <w:shd w:val="clear" w:color="auto" w:fill="FFFFFF"/>
              </w:rPr>
              <w:t xml:space="preserve">Local history study (focus: </w:t>
            </w:r>
            <w:r w:rsidR="005C1C7F">
              <w:rPr>
                <w:rFonts w:ascii="Calibri" w:hAnsi="Calibri" w:cs="Calibri"/>
                <w:color w:val="0B0C0C"/>
                <w:sz w:val="20"/>
                <w:szCs w:val="29"/>
                <w:shd w:val="clear" w:color="auto" w:fill="FFFFFF"/>
              </w:rPr>
              <w:t xml:space="preserve">Warwick Town </w:t>
            </w:r>
            <w:r>
              <w:rPr>
                <w:rFonts w:ascii="Calibri" w:hAnsi="Calibri" w:cs="Calibri"/>
                <w:color w:val="0B0C0C"/>
                <w:sz w:val="20"/>
                <w:szCs w:val="29"/>
                <w:shd w:val="clear" w:color="auto" w:fill="FFFFFF"/>
              </w:rPr>
              <w:t>with a link to</w:t>
            </w:r>
            <w:r w:rsidR="005C1C7F">
              <w:rPr>
                <w:rFonts w:ascii="Calibri" w:hAnsi="Calibri" w:cs="Calibri"/>
                <w:color w:val="0B0C0C"/>
                <w:sz w:val="20"/>
                <w:szCs w:val="29"/>
                <w:shd w:val="clear" w:color="auto" w:fill="FFFFFF"/>
              </w:rPr>
              <w:t xml:space="preserve"> </w:t>
            </w:r>
            <w:r w:rsidR="00A90AB9">
              <w:rPr>
                <w:rFonts w:ascii="Calibri" w:hAnsi="Calibri" w:cs="Calibri"/>
                <w:color w:val="0B0C0C"/>
                <w:sz w:val="20"/>
                <w:szCs w:val="29"/>
                <w:shd w:val="clear" w:color="auto" w:fill="FFFFFF"/>
              </w:rPr>
              <w:t>highwaymen</w:t>
            </w:r>
            <w:r>
              <w:rPr>
                <w:rFonts w:ascii="Calibri" w:hAnsi="Calibri" w:cs="Calibri"/>
                <w:color w:val="0B0C0C"/>
                <w:sz w:val="20"/>
                <w:szCs w:val="29"/>
                <w:shd w:val="clear" w:color="auto" w:fill="FFFFFF"/>
              </w:rPr>
              <w:t>)</w:t>
            </w:r>
          </w:p>
          <w:p w:rsidR="00A90AB9" w:rsidRPr="00EC3321" w:rsidRDefault="00A90AB9" w:rsidP="00A90AB9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E66ECF" w:rsidTr="00E66ECF">
        <w:tc>
          <w:tcPr>
            <w:tcW w:w="1890" w:type="dxa"/>
            <w:vMerge w:val="restart"/>
            <w:textDirection w:val="btLr"/>
          </w:tcPr>
          <w:p w:rsidR="00E66ECF" w:rsidRPr="00EC3321" w:rsidRDefault="00E66ECF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  <w:gridSpan w:val="2"/>
          </w:tcPr>
          <w:p w:rsidR="00E66ECF" w:rsidRPr="00EC3321" w:rsidRDefault="00E66ECF" w:rsidP="002A4F6C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7749" w:type="dxa"/>
            <w:gridSpan w:val="2"/>
            <w:tcBorders>
              <w:bottom w:val="single" w:sz="4" w:space="0" w:color="auto"/>
            </w:tcBorders>
          </w:tcPr>
          <w:p w:rsidR="00E66ECF" w:rsidRPr="002C16F0" w:rsidRDefault="00E66ECF" w:rsidP="00E66ECF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Swimming and fitness (Onside Coaching 2</w:t>
            </w:r>
            <w:r w:rsidRPr="00E66EC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half Autumn Term)</w:t>
            </w:r>
          </w:p>
          <w:p w:rsidR="00E66ECF" w:rsidRPr="00EC3321" w:rsidRDefault="00E66ECF" w:rsidP="002A4F6C">
            <w:pPr>
              <w:pStyle w:val="NoSpacing"/>
              <w:rPr>
                <w:sz w:val="20"/>
                <w:szCs w:val="20"/>
              </w:rPr>
            </w:pPr>
          </w:p>
        </w:tc>
      </w:tr>
      <w:tr w:rsidR="002A4F6C" w:rsidTr="00E66ECF">
        <w:tc>
          <w:tcPr>
            <w:tcW w:w="1890" w:type="dxa"/>
            <w:vMerge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  <w:tcBorders>
              <w:right w:val="nil"/>
            </w:tcBorders>
          </w:tcPr>
          <w:p w:rsidR="002A4F6C" w:rsidRDefault="00E66ECF" w:rsidP="00E66ECF">
            <w:pPr>
              <w:pStyle w:val="NoSpacing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Swim competently, confidently and proficiently over a distance of at least 25 metres</w:t>
            </w:r>
          </w:p>
          <w:p w:rsidR="00E66ECF" w:rsidRDefault="00E66ECF" w:rsidP="00E66ECF">
            <w:pPr>
              <w:pStyle w:val="NoSpacing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a range of strokes effectively</w:t>
            </w:r>
          </w:p>
          <w:p w:rsidR="00E66ECF" w:rsidRPr="002C16F0" w:rsidRDefault="00E66ECF" w:rsidP="00E66ECF">
            <w:pPr>
              <w:pStyle w:val="NoSpacing"/>
              <w:ind w:left="450"/>
              <w:rPr>
                <w:rFonts w:ascii="Calibri" w:hAnsi="Calibri" w:cs="Calibri"/>
                <w:sz w:val="20"/>
                <w:szCs w:val="20"/>
              </w:rPr>
            </w:pPr>
          </w:p>
          <w:p w:rsidR="002A4F6C" w:rsidRPr="002C16F0" w:rsidRDefault="002A4F6C" w:rsidP="002A4F6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5" w:type="dxa"/>
            <w:tcBorders>
              <w:left w:val="nil"/>
            </w:tcBorders>
          </w:tcPr>
          <w:p w:rsidR="00E66ECF" w:rsidRDefault="00E66ECF" w:rsidP="002C16F0">
            <w:pPr>
              <w:pStyle w:val="NoSpacing"/>
              <w:numPr>
                <w:ilvl w:val="0"/>
                <w:numId w:val="26"/>
              </w:numPr>
              <w:ind w:left="189" w:hanging="1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Compare performances  with previous ones and demonstrate improvement to achieve  personal best</w:t>
            </w:r>
          </w:p>
          <w:p w:rsidR="002A4F6C" w:rsidRPr="002C16F0" w:rsidRDefault="00E66ECF" w:rsidP="002C16F0">
            <w:pPr>
              <w:pStyle w:val="NoSpacing"/>
              <w:numPr>
                <w:ilvl w:val="0"/>
                <w:numId w:val="26"/>
              </w:numPr>
              <w:ind w:left="189" w:hanging="1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 flexibility, strength, technique, control and balance</w:t>
            </w:r>
          </w:p>
        </w:tc>
      </w:tr>
      <w:tr w:rsidR="002A4F6C" w:rsidTr="00E90662">
        <w:tc>
          <w:tcPr>
            <w:tcW w:w="1890" w:type="dxa"/>
            <w:vMerge w:val="restart"/>
            <w:textDirection w:val="btLr"/>
          </w:tcPr>
          <w:p w:rsidR="002A4F6C" w:rsidRPr="00EC3321" w:rsidRDefault="002A4F6C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A4F6C" w:rsidRDefault="00E66ECF" w:rsidP="005215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and draw chocolate products and packaging</w:t>
            </w:r>
          </w:p>
          <w:p w:rsidR="002A4F6C" w:rsidRPr="00EC3321" w:rsidRDefault="002A4F6C" w:rsidP="00521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A4F6C" w:rsidRPr="00EC3321" w:rsidRDefault="00B9282D" w:rsidP="005215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art</w:t>
            </w:r>
          </w:p>
        </w:tc>
      </w:tr>
      <w:tr w:rsidR="002A4F6C" w:rsidTr="00D661C3">
        <w:trPr>
          <w:trHeight w:val="354"/>
        </w:trPr>
        <w:tc>
          <w:tcPr>
            <w:tcW w:w="1890" w:type="dxa"/>
            <w:vMerge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2A4F6C" w:rsidRPr="00052E69" w:rsidRDefault="00DE7EB1" w:rsidP="00B07247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5180F">
              <w:rPr>
                <w:sz w:val="20"/>
                <w:szCs w:val="20"/>
              </w:rPr>
              <w:t>Improve mastery of art and design techniques</w:t>
            </w:r>
            <w:r w:rsidR="0052158D">
              <w:rPr>
                <w:sz w:val="20"/>
                <w:szCs w:val="20"/>
              </w:rPr>
              <w:t>, including drawing, painting and sculpture with a range of materials</w:t>
            </w:r>
          </w:p>
        </w:tc>
        <w:tc>
          <w:tcPr>
            <w:tcW w:w="3875" w:type="dxa"/>
          </w:tcPr>
          <w:p w:rsidR="002A4F6C" w:rsidRPr="0005180F" w:rsidRDefault="0052158D" w:rsidP="00B9282D">
            <w:pPr>
              <w:pStyle w:val="NoSpacing"/>
              <w:numPr>
                <w:ilvl w:val="0"/>
                <w:numId w:val="26"/>
              </w:numPr>
              <w:ind w:left="189" w:hanging="141"/>
              <w:rPr>
                <w:sz w:val="20"/>
                <w:szCs w:val="20"/>
              </w:rPr>
            </w:pPr>
            <w:r w:rsidRPr="0005180F">
              <w:rPr>
                <w:sz w:val="20"/>
                <w:szCs w:val="20"/>
              </w:rPr>
              <w:t>Improve mastery of art and design techniques</w:t>
            </w:r>
            <w:r>
              <w:rPr>
                <w:sz w:val="20"/>
                <w:szCs w:val="20"/>
              </w:rPr>
              <w:t>, including drawing, painting and sculpture with a range of materials</w:t>
            </w:r>
          </w:p>
        </w:tc>
      </w:tr>
      <w:tr w:rsidR="002A4F6C" w:rsidTr="00E90662">
        <w:tc>
          <w:tcPr>
            <w:tcW w:w="1890" w:type="dxa"/>
            <w:vMerge w:val="restart"/>
            <w:textDirection w:val="btLr"/>
          </w:tcPr>
          <w:p w:rsidR="002A4F6C" w:rsidRPr="00EC3321" w:rsidRDefault="002A4F6C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A4F6C" w:rsidRPr="00EC3321" w:rsidRDefault="00B9282D" w:rsidP="005215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Chocolate </w:t>
            </w:r>
            <w:r w:rsidR="0052158D">
              <w:rPr>
                <w:sz w:val="20"/>
                <w:szCs w:val="20"/>
              </w:rPr>
              <w:t>Packaging</w:t>
            </w:r>
          </w:p>
        </w:tc>
        <w:tc>
          <w:tcPr>
            <w:tcW w:w="3875" w:type="dxa"/>
          </w:tcPr>
          <w:p w:rsidR="002A4F6C" w:rsidRPr="0005180F" w:rsidRDefault="002A4F6C" w:rsidP="002A4F6C">
            <w:pPr>
              <w:pStyle w:val="NoSpacing"/>
              <w:rPr>
                <w:sz w:val="20"/>
                <w:szCs w:val="20"/>
              </w:rPr>
            </w:pPr>
          </w:p>
        </w:tc>
      </w:tr>
      <w:tr w:rsidR="00B07247" w:rsidTr="00E90662">
        <w:tc>
          <w:tcPr>
            <w:tcW w:w="1890" w:type="dxa"/>
            <w:vMerge/>
            <w:textDirection w:val="btLr"/>
          </w:tcPr>
          <w:p w:rsidR="00B07247" w:rsidRDefault="00B07247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7247" w:rsidRDefault="00B07247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B07247" w:rsidRDefault="00B07247" w:rsidP="00B07247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B07247" w:rsidRDefault="00B07247" w:rsidP="00B07247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Generate, develop, model and communicate ideas</w:t>
            </w:r>
          </w:p>
        </w:tc>
        <w:tc>
          <w:tcPr>
            <w:tcW w:w="3875" w:type="dxa"/>
          </w:tcPr>
          <w:p w:rsidR="00B07247" w:rsidRDefault="00B07247" w:rsidP="002A4F6C">
            <w:pPr>
              <w:pStyle w:val="NoSpacing"/>
              <w:rPr>
                <w:sz w:val="20"/>
                <w:szCs w:val="20"/>
              </w:rPr>
            </w:pPr>
          </w:p>
        </w:tc>
      </w:tr>
      <w:tr w:rsidR="002A4F6C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2A4F6C" w:rsidRPr="00EC3321" w:rsidRDefault="002A4F6C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  <w:gridSpan w:val="2"/>
          </w:tcPr>
          <w:p w:rsidR="002A4F6C" w:rsidRPr="00EC3321" w:rsidRDefault="002A4F6C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A4F6C" w:rsidRPr="0005180F" w:rsidRDefault="00CD32DF" w:rsidP="00B0724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the recorder</w:t>
            </w:r>
          </w:p>
        </w:tc>
        <w:tc>
          <w:tcPr>
            <w:tcW w:w="3875" w:type="dxa"/>
          </w:tcPr>
          <w:p w:rsidR="002A4F6C" w:rsidRPr="00114626" w:rsidRDefault="00C60E0E" w:rsidP="00B0724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Dancing in the Street</w:t>
            </w:r>
          </w:p>
        </w:tc>
      </w:tr>
      <w:tr w:rsidR="00CD32DF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CD32DF" w:rsidRPr="00EC3321" w:rsidRDefault="00CD32DF" w:rsidP="002A4F6C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32DF" w:rsidRDefault="00CD32DF" w:rsidP="002A4F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CD32DF" w:rsidRDefault="009A05F8" w:rsidP="00CD32DF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and perform in solo and ensemble contexts</w:t>
            </w:r>
          </w:p>
          <w:p w:rsidR="009A05F8" w:rsidRPr="0005180F" w:rsidRDefault="009A05F8" w:rsidP="00CD32DF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and understand staff and other musical notations</w:t>
            </w:r>
          </w:p>
        </w:tc>
        <w:tc>
          <w:tcPr>
            <w:tcW w:w="3875" w:type="dxa"/>
          </w:tcPr>
          <w:p w:rsidR="00C60E0E" w:rsidRDefault="00C60E0E" w:rsidP="00C60E0E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and perform in solo and ensemble contexts</w:t>
            </w:r>
          </w:p>
          <w:p w:rsidR="00CD32DF" w:rsidRDefault="00CD32DF" w:rsidP="00CD32DF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voices with increasing accuracy, fluency, control and expression</w:t>
            </w:r>
          </w:p>
          <w:p w:rsidR="00C60E0E" w:rsidRDefault="00C60E0E" w:rsidP="00CD32DF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with attention to detail and recall sounds with increasing aural memory</w:t>
            </w:r>
          </w:p>
        </w:tc>
      </w:tr>
      <w:tr w:rsidR="00A03B32" w:rsidTr="00063A32">
        <w:trPr>
          <w:cantSplit/>
          <w:trHeight w:val="800"/>
        </w:trPr>
        <w:tc>
          <w:tcPr>
            <w:tcW w:w="3308" w:type="dxa"/>
            <w:gridSpan w:val="3"/>
            <w:textDirection w:val="btLr"/>
          </w:tcPr>
          <w:p w:rsidR="00A03B32" w:rsidRPr="00EC3321" w:rsidRDefault="00A03B32" w:rsidP="00A03B32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3874" w:type="dxa"/>
          </w:tcPr>
          <w:p w:rsidR="00A03B32" w:rsidRPr="00EC3321" w:rsidRDefault="00A03B32" w:rsidP="00B0724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</w:t>
            </w:r>
          </w:p>
        </w:tc>
        <w:tc>
          <w:tcPr>
            <w:tcW w:w="3875" w:type="dxa"/>
          </w:tcPr>
          <w:p w:rsidR="00A03B32" w:rsidRPr="00EC3321" w:rsidRDefault="00A03B32" w:rsidP="00B0724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Emotions and Protective Behaviours</w:t>
            </w:r>
          </w:p>
        </w:tc>
      </w:tr>
      <w:tr w:rsidR="00A03B32" w:rsidTr="0002625E">
        <w:trPr>
          <w:cantSplit/>
          <w:trHeight w:val="929"/>
        </w:trPr>
        <w:tc>
          <w:tcPr>
            <w:tcW w:w="3308" w:type="dxa"/>
            <w:gridSpan w:val="3"/>
            <w:textDirection w:val="btLr"/>
          </w:tcPr>
          <w:p w:rsidR="00A03B32" w:rsidRPr="00EC3321" w:rsidRDefault="00A03B32" w:rsidP="004477F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  <w:p w:rsidR="00A03B32" w:rsidRPr="001462C6" w:rsidRDefault="00A03B32" w:rsidP="00A03B3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2"/>
          </w:tcPr>
          <w:p w:rsidR="00A03B32" w:rsidRDefault="00A03B32" w:rsidP="004477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03B32" w:rsidRDefault="00A03B32" w:rsidP="004477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1462C6">
              <w:rPr>
                <w:sz w:val="20"/>
                <w:szCs w:val="20"/>
              </w:rPr>
              <w:t>Rigolo</w:t>
            </w:r>
            <w:proofErr w:type="spellEnd"/>
            <w:r w:rsidRPr="001462C6">
              <w:rPr>
                <w:sz w:val="20"/>
                <w:szCs w:val="20"/>
              </w:rPr>
              <w:t xml:space="preserve"> unit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A’L’ecole</w:t>
            </w:r>
            <w:proofErr w:type="spellEnd"/>
          </w:p>
          <w:p w:rsidR="00A03B32" w:rsidRPr="001462C6" w:rsidRDefault="00A03B32" w:rsidP="0052158D">
            <w:pPr>
              <w:pStyle w:val="NoSpacing"/>
              <w:rPr>
                <w:sz w:val="20"/>
                <w:szCs w:val="20"/>
              </w:rPr>
            </w:pPr>
          </w:p>
        </w:tc>
      </w:tr>
      <w:tr w:rsidR="00CD32DF" w:rsidTr="00D661C3">
        <w:trPr>
          <w:cantSplit/>
          <w:trHeight w:val="817"/>
        </w:trPr>
        <w:tc>
          <w:tcPr>
            <w:tcW w:w="3308" w:type="dxa"/>
            <w:gridSpan w:val="3"/>
            <w:textDirection w:val="btLr"/>
          </w:tcPr>
          <w:p w:rsidR="00CD32DF" w:rsidRPr="00EC3321" w:rsidRDefault="00CD32DF" w:rsidP="004477F6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7749" w:type="dxa"/>
            <w:gridSpan w:val="2"/>
          </w:tcPr>
          <w:p w:rsidR="00CD32DF" w:rsidRDefault="00CD32DF" w:rsidP="00CD32D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  Is it better to express your religion in arts and architecture or in charity and generosity?</w:t>
            </w:r>
          </w:p>
        </w:tc>
      </w:tr>
      <w:tr w:rsidR="0052158D" w:rsidTr="00FE0FA8">
        <w:trPr>
          <w:cantSplit/>
          <w:trHeight w:val="817"/>
        </w:trPr>
        <w:tc>
          <w:tcPr>
            <w:tcW w:w="1951" w:type="dxa"/>
            <w:gridSpan w:val="2"/>
            <w:vMerge w:val="restart"/>
            <w:textDirection w:val="btLr"/>
          </w:tcPr>
          <w:p w:rsidR="0052158D" w:rsidRPr="00EC3321" w:rsidRDefault="0052158D" w:rsidP="0052158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lastRenderedPageBreak/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:rsidR="0052158D" w:rsidRPr="00EC3321" w:rsidRDefault="0052158D" w:rsidP="00521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52158D" w:rsidRPr="00EC3321" w:rsidRDefault="0052158D" w:rsidP="00521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non-fiction texts (history)</w:t>
            </w:r>
          </w:p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writing (trip)</w:t>
            </w:r>
          </w:p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Balanced argument (topic link)</w:t>
            </w:r>
          </w:p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 (topic link)</w:t>
            </w:r>
          </w:p>
          <w:p w:rsidR="0052158D" w:rsidRPr="00F01B8F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(history)</w:t>
            </w:r>
          </w:p>
        </w:tc>
        <w:tc>
          <w:tcPr>
            <w:tcW w:w="3875" w:type="dxa"/>
          </w:tcPr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Writing (topic) </w:t>
            </w:r>
          </w:p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Posters (topic)</w:t>
            </w:r>
          </w:p>
          <w:p w:rsidR="0052158D" w:rsidRPr="00F01B8F" w:rsidRDefault="0052158D" w:rsidP="0052158D">
            <w:pPr>
              <w:pStyle w:val="NoSpacing"/>
              <w:rPr>
                <w:sz w:val="20"/>
                <w:szCs w:val="20"/>
              </w:rPr>
            </w:pPr>
          </w:p>
        </w:tc>
      </w:tr>
      <w:tr w:rsidR="0052158D" w:rsidTr="00FE0FA8">
        <w:trPr>
          <w:cantSplit/>
          <w:trHeight w:val="817"/>
        </w:trPr>
        <w:tc>
          <w:tcPr>
            <w:tcW w:w="1951" w:type="dxa"/>
            <w:gridSpan w:val="2"/>
            <w:vMerge/>
            <w:textDirection w:val="btLr"/>
          </w:tcPr>
          <w:p w:rsidR="0052158D" w:rsidRPr="00EC3321" w:rsidRDefault="0052158D" w:rsidP="00521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52158D" w:rsidRPr="00EC3321" w:rsidRDefault="0052158D" w:rsidP="00521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Nets of 3D shapes (D&amp;T link) </w:t>
            </w:r>
          </w:p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and weighing (science)</w:t>
            </w:r>
          </w:p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 (science and topic)</w:t>
            </w:r>
          </w:p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and tables (topic)</w:t>
            </w:r>
          </w:p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Rounding (science)</w:t>
            </w:r>
          </w:p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Estimating (science)</w:t>
            </w:r>
          </w:p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Scaling (art and design)</w:t>
            </w:r>
          </w:p>
          <w:p w:rsidR="0052158D" w:rsidRPr="00EC3321" w:rsidRDefault="0052158D" w:rsidP="005215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Collection (science) </w:t>
            </w:r>
          </w:p>
          <w:p w:rsidR="0052158D" w:rsidRPr="00EC3321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Co-ordinates map reading and direction (topic link)</w:t>
            </w:r>
          </w:p>
        </w:tc>
      </w:tr>
      <w:tr w:rsidR="0052158D" w:rsidTr="00FE0FA8">
        <w:trPr>
          <w:cantSplit/>
          <w:trHeight w:val="817"/>
        </w:trPr>
        <w:tc>
          <w:tcPr>
            <w:tcW w:w="1951" w:type="dxa"/>
            <w:gridSpan w:val="2"/>
            <w:vMerge/>
            <w:textDirection w:val="btLr"/>
          </w:tcPr>
          <w:p w:rsidR="0052158D" w:rsidRPr="00EC3321" w:rsidRDefault="0052158D" w:rsidP="00521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52158D" w:rsidRPr="00EC3321" w:rsidRDefault="0052158D" w:rsidP="00521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:rsidR="0052158D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 Trade and ethical awareness links (SMSC / PSHE) </w:t>
            </w:r>
          </w:p>
          <w:p w:rsidR="0052158D" w:rsidRPr="00EC3321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  (music)</w:t>
            </w:r>
          </w:p>
        </w:tc>
        <w:tc>
          <w:tcPr>
            <w:tcW w:w="3875" w:type="dxa"/>
          </w:tcPr>
          <w:p w:rsidR="0052158D" w:rsidRPr="00EC3321" w:rsidRDefault="0052158D" w:rsidP="00521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Highwayman song (music)</w:t>
            </w:r>
          </w:p>
        </w:tc>
      </w:tr>
    </w:tbl>
    <w:p w:rsidR="000D6755" w:rsidRDefault="000D6755" w:rsidP="000D6755">
      <w:pPr>
        <w:pStyle w:val="NoSpacing"/>
      </w:pPr>
    </w:p>
    <w:sectPr w:rsidR="000D6755" w:rsidSect="00EC3321">
      <w:headerReference w:type="default" r:id="rId8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2B" w:rsidRDefault="0069072B" w:rsidP="000D6755">
      <w:pPr>
        <w:spacing w:after="0" w:line="240" w:lineRule="auto"/>
      </w:pPr>
      <w:r>
        <w:separator/>
      </w:r>
    </w:p>
  </w:endnote>
  <w:endnote w:type="continuationSeparator" w:id="0">
    <w:p w:rsidR="0069072B" w:rsidRDefault="0069072B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2B" w:rsidRDefault="0069072B" w:rsidP="000D6755">
      <w:pPr>
        <w:spacing w:after="0" w:line="240" w:lineRule="auto"/>
      </w:pPr>
      <w:r>
        <w:separator/>
      </w:r>
    </w:p>
  </w:footnote>
  <w:footnote w:type="continuationSeparator" w:id="0">
    <w:p w:rsidR="0069072B" w:rsidRDefault="0069072B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36682D">
      <w:rPr>
        <w:u w:val="single"/>
      </w:rPr>
      <w:t xml:space="preserve">ear 5 </w:t>
    </w:r>
    <w:r w:rsidR="00466DA2">
      <w:rPr>
        <w:u w:val="single"/>
      </w:rPr>
      <w:t xml:space="preserve">Autumn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119C3"/>
    <w:multiLevelType w:val="hybridMultilevel"/>
    <w:tmpl w:val="D90A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40B39"/>
    <w:multiLevelType w:val="hybridMultilevel"/>
    <w:tmpl w:val="96CA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33D19"/>
    <w:multiLevelType w:val="hybridMultilevel"/>
    <w:tmpl w:val="FDF8D1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125682"/>
    <w:multiLevelType w:val="hybridMultilevel"/>
    <w:tmpl w:val="35521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1C2F60"/>
    <w:multiLevelType w:val="hybridMultilevel"/>
    <w:tmpl w:val="85AC8D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940CC"/>
    <w:multiLevelType w:val="hybridMultilevel"/>
    <w:tmpl w:val="494A1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F727BA"/>
    <w:multiLevelType w:val="hybridMultilevel"/>
    <w:tmpl w:val="7408D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786119"/>
    <w:multiLevelType w:val="hybridMultilevel"/>
    <w:tmpl w:val="BC62A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116AB9"/>
    <w:multiLevelType w:val="hybridMultilevel"/>
    <w:tmpl w:val="ECC62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5C620F"/>
    <w:multiLevelType w:val="hybridMultilevel"/>
    <w:tmpl w:val="6F904A3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5B452F38"/>
    <w:multiLevelType w:val="hybridMultilevel"/>
    <w:tmpl w:val="CBE8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269E2"/>
    <w:multiLevelType w:val="hybridMultilevel"/>
    <w:tmpl w:val="05EA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0E3B10"/>
    <w:multiLevelType w:val="hybridMultilevel"/>
    <w:tmpl w:val="03FE66A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6B74E88"/>
    <w:multiLevelType w:val="multilevel"/>
    <w:tmpl w:val="D890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725606"/>
    <w:multiLevelType w:val="hybridMultilevel"/>
    <w:tmpl w:val="71B6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8220E8"/>
    <w:multiLevelType w:val="hybridMultilevel"/>
    <w:tmpl w:val="2A58F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3333D7"/>
    <w:multiLevelType w:val="hybridMultilevel"/>
    <w:tmpl w:val="FCF85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B04030"/>
    <w:multiLevelType w:val="hybridMultilevel"/>
    <w:tmpl w:val="3B1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935F3"/>
    <w:multiLevelType w:val="multilevel"/>
    <w:tmpl w:val="B43A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7E22A1"/>
    <w:multiLevelType w:val="multilevel"/>
    <w:tmpl w:val="6B58A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788B3643"/>
    <w:multiLevelType w:val="hybridMultilevel"/>
    <w:tmpl w:val="2232394E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4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612B00"/>
    <w:multiLevelType w:val="hybridMultilevel"/>
    <w:tmpl w:val="D16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A4BD7"/>
    <w:multiLevelType w:val="hybridMultilevel"/>
    <w:tmpl w:val="9168C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5D61A1"/>
    <w:multiLevelType w:val="hybridMultilevel"/>
    <w:tmpl w:val="77BE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848BA"/>
    <w:multiLevelType w:val="hybridMultilevel"/>
    <w:tmpl w:val="9A4CC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4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15"/>
  </w:num>
  <w:num w:numId="12">
    <w:abstractNumId w:val="23"/>
  </w:num>
  <w:num w:numId="13">
    <w:abstractNumId w:val="34"/>
  </w:num>
  <w:num w:numId="14">
    <w:abstractNumId w:val="16"/>
  </w:num>
  <w:num w:numId="15">
    <w:abstractNumId w:val="39"/>
  </w:num>
  <w:num w:numId="16">
    <w:abstractNumId w:val="30"/>
  </w:num>
  <w:num w:numId="17">
    <w:abstractNumId w:val="35"/>
  </w:num>
  <w:num w:numId="18">
    <w:abstractNumId w:val="17"/>
  </w:num>
  <w:num w:numId="19">
    <w:abstractNumId w:val="2"/>
  </w:num>
  <w:num w:numId="20">
    <w:abstractNumId w:val="22"/>
  </w:num>
  <w:num w:numId="21">
    <w:abstractNumId w:val="37"/>
  </w:num>
  <w:num w:numId="22">
    <w:abstractNumId w:val="32"/>
  </w:num>
  <w:num w:numId="23">
    <w:abstractNumId w:val="25"/>
  </w:num>
  <w:num w:numId="24">
    <w:abstractNumId w:val="12"/>
  </w:num>
  <w:num w:numId="25">
    <w:abstractNumId w:val="31"/>
  </w:num>
  <w:num w:numId="26">
    <w:abstractNumId w:val="26"/>
  </w:num>
  <w:num w:numId="27">
    <w:abstractNumId w:val="21"/>
  </w:num>
  <w:num w:numId="28">
    <w:abstractNumId w:val="8"/>
  </w:num>
  <w:num w:numId="29">
    <w:abstractNumId w:val="18"/>
  </w:num>
  <w:num w:numId="30">
    <w:abstractNumId w:val="13"/>
  </w:num>
  <w:num w:numId="31">
    <w:abstractNumId w:val="29"/>
  </w:num>
  <w:num w:numId="32">
    <w:abstractNumId w:val="33"/>
  </w:num>
  <w:num w:numId="33">
    <w:abstractNumId w:val="20"/>
  </w:num>
  <w:num w:numId="34">
    <w:abstractNumId w:val="38"/>
  </w:num>
  <w:num w:numId="35">
    <w:abstractNumId w:val="36"/>
  </w:num>
  <w:num w:numId="36">
    <w:abstractNumId w:val="3"/>
  </w:num>
  <w:num w:numId="37">
    <w:abstractNumId w:val="24"/>
  </w:num>
  <w:num w:numId="38">
    <w:abstractNumId w:val="10"/>
  </w:num>
  <w:num w:numId="39">
    <w:abstractNumId w:val="2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5"/>
    <w:rsid w:val="0005180F"/>
    <w:rsid w:val="00052E69"/>
    <w:rsid w:val="00073434"/>
    <w:rsid w:val="000C6C90"/>
    <w:rsid w:val="000D6755"/>
    <w:rsid w:val="00114626"/>
    <w:rsid w:val="001462C6"/>
    <w:rsid w:val="001D6B90"/>
    <w:rsid w:val="00251D64"/>
    <w:rsid w:val="002A4F6C"/>
    <w:rsid w:val="002C0412"/>
    <w:rsid w:val="002C16F0"/>
    <w:rsid w:val="002D71EC"/>
    <w:rsid w:val="0036682D"/>
    <w:rsid w:val="00384908"/>
    <w:rsid w:val="00385B73"/>
    <w:rsid w:val="003A185F"/>
    <w:rsid w:val="003A72E5"/>
    <w:rsid w:val="003D0081"/>
    <w:rsid w:val="003E3205"/>
    <w:rsid w:val="004477F6"/>
    <w:rsid w:val="00465B52"/>
    <w:rsid w:val="00466DA2"/>
    <w:rsid w:val="00474D7F"/>
    <w:rsid w:val="004B1B1A"/>
    <w:rsid w:val="004D2D8F"/>
    <w:rsid w:val="0052158D"/>
    <w:rsid w:val="0054359E"/>
    <w:rsid w:val="005761EA"/>
    <w:rsid w:val="005C1C7F"/>
    <w:rsid w:val="005C53EE"/>
    <w:rsid w:val="005D58C6"/>
    <w:rsid w:val="00635352"/>
    <w:rsid w:val="0063671E"/>
    <w:rsid w:val="006801FA"/>
    <w:rsid w:val="0069072B"/>
    <w:rsid w:val="006C28E6"/>
    <w:rsid w:val="006E557D"/>
    <w:rsid w:val="006F45A5"/>
    <w:rsid w:val="00704347"/>
    <w:rsid w:val="00742B12"/>
    <w:rsid w:val="007B0D4B"/>
    <w:rsid w:val="007B397F"/>
    <w:rsid w:val="007D4769"/>
    <w:rsid w:val="007F1235"/>
    <w:rsid w:val="0081573F"/>
    <w:rsid w:val="008526D3"/>
    <w:rsid w:val="008A7F91"/>
    <w:rsid w:val="008C3717"/>
    <w:rsid w:val="00920405"/>
    <w:rsid w:val="00934AD8"/>
    <w:rsid w:val="00934B4F"/>
    <w:rsid w:val="009809F1"/>
    <w:rsid w:val="009819DF"/>
    <w:rsid w:val="00991405"/>
    <w:rsid w:val="009A05F8"/>
    <w:rsid w:val="00A03B32"/>
    <w:rsid w:val="00A21E01"/>
    <w:rsid w:val="00A45DE8"/>
    <w:rsid w:val="00A605A4"/>
    <w:rsid w:val="00A8157A"/>
    <w:rsid w:val="00A90AB9"/>
    <w:rsid w:val="00A95BDE"/>
    <w:rsid w:val="00AD207F"/>
    <w:rsid w:val="00B07247"/>
    <w:rsid w:val="00B9282D"/>
    <w:rsid w:val="00BD6825"/>
    <w:rsid w:val="00C10D50"/>
    <w:rsid w:val="00C60E0E"/>
    <w:rsid w:val="00CA31DA"/>
    <w:rsid w:val="00CB742C"/>
    <w:rsid w:val="00CC1172"/>
    <w:rsid w:val="00CD32DF"/>
    <w:rsid w:val="00CF767E"/>
    <w:rsid w:val="00D33C75"/>
    <w:rsid w:val="00D356AD"/>
    <w:rsid w:val="00D661C3"/>
    <w:rsid w:val="00DD78A1"/>
    <w:rsid w:val="00DE0813"/>
    <w:rsid w:val="00DE7EB1"/>
    <w:rsid w:val="00E01A60"/>
    <w:rsid w:val="00E102F2"/>
    <w:rsid w:val="00E1456B"/>
    <w:rsid w:val="00E66ECF"/>
    <w:rsid w:val="00E677F2"/>
    <w:rsid w:val="00E7659D"/>
    <w:rsid w:val="00E90662"/>
    <w:rsid w:val="00EC3321"/>
    <w:rsid w:val="00F01B8F"/>
    <w:rsid w:val="00F47023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7</cp:revision>
  <cp:lastPrinted>2018-07-02T16:03:00Z</cp:lastPrinted>
  <dcterms:created xsi:type="dcterms:W3CDTF">2018-09-13T14:38:00Z</dcterms:created>
  <dcterms:modified xsi:type="dcterms:W3CDTF">2018-09-24T14:18:00Z</dcterms:modified>
</cp:coreProperties>
</file>