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4F052F">
              <w:rPr>
                <w:sz w:val="20"/>
                <w:szCs w:val="20"/>
              </w:rPr>
              <w:t>4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  <w:tc>
          <w:tcPr>
            <w:tcW w:w="3875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="00F8421A">
              <w:rPr>
                <w:sz w:val="20"/>
                <w:szCs w:val="20"/>
              </w:rPr>
              <w:t xml:space="preserve"> Half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bookmarkStart w:id="0" w:name="_GoBack" w:colFirst="1" w:colLast="2"/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86728D" w:rsidRDefault="00E04AC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86728D">
              <w:rPr>
                <w:sz w:val="20"/>
                <w:szCs w:val="20"/>
              </w:rPr>
              <w:t>Animal Magic</w:t>
            </w:r>
          </w:p>
        </w:tc>
        <w:tc>
          <w:tcPr>
            <w:tcW w:w="3875" w:type="dxa"/>
          </w:tcPr>
          <w:p w:rsidR="00EC3321" w:rsidRPr="0086728D" w:rsidRDefault="006C015E" w:rsidP="006C015E">
            <w:pPr>
              <w:pStyle w:val="NoSpacing"/>
              <w:jc w:val="center"/>
              <w:rPr>
                <w:sz w:val="20"/>
                <w:szCs w:val="20"/>
              </w:rPr>
            </w:pPr>
            <w:r w:rsidRPr="0086728D">
              <w:rPr>
                <w:sz w:val="20"/>
                <w:szCs w:val="20"/>
              </w:rPr>
              <w:t>People Posters P</w:t>
            </w:r>
            <w:r w:rsidR="00FA6378" w:rsidRPr="0086728D">
              <w:rPr>
                <w:sz w:val="20"/>
                <w:szCs w:val="20"/>
              </w:rPr>
              <w:t>eace</w:t>
            </w:r>
          </w:p>
        </w:tc>
      </w:tr>
      <w:bookmarkEnd w:id="0"/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CD0BF0" w:rsidP="00CD0B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Mitchell </w:t>
            </w:r>
            <w:r w:rsidR="007213F9">
              <w:rPr>
                <w:sz w:val="20"/>
                <w:szCs w:val="20"/>
              </w:rPr>
              <w:t xml:space="preserve"> – Habitats and team building</w:t>
            </w:r>
            <w:r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3875" w:type="dxa"/>
          </w:tcPr>
          <w:p w:rsidR="00EC3321" w:rsidRPr="00EC3321" w:rsidRDefault="007213F9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Armed Forces Visitor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04AC1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day </w:t>
            </w:r>
          </w:p>
        </w:tc>
        <w:tc>
          <w:tcPr>
            <w:tcW w:w="3875" w:type="dxa"/>
          </w:tcPr>
          <w:p w:rsidR="00EC3321" w:rsidRPr="00EC3321" w:rsidRDefault="00FA6378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soldier to answer questions on army life</w:t>
            </w:r>
          </w:p>
        </w:tc>
      </w:tr>
      <w:tr w:rsidR="001462C6" w:rsidTr="00E90662">
        <w:tc>
          <w:tcPr>
            <w:tcW w:w="3308" w:type="dxa"/>
            <w:gridSpan w:val="2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1462C6" w:rsidRDefault="00E04AC1" w:rsidP="006871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Mr Fox</w:t>
            </w:r>
          </w:p>
          <w:p w:rsidR="005C53EE" w:rsidRPr="00EC3321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C0412" w:rsidRDefault="00FA6378" w:rsidP="0068717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Where You Are and Then Leave</w:t>
            </w:r>
          </w:p>
          <w:p w:rsidR="005C53EE" w:rsidRPr="002C0412" w:rsidRDefault="00FA6378" w:rsidP="0068717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Games</w:t>
            </w:r>
          </w:p>
        </w:tc>
      </w:tr>
      <w:tr w:rsidR="005C53EE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5C53EE" w:rsidRDefault="00E04AC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CD0BF0" w:rsidRPr="00EC3321" w:rsidRDefault="00CD0BF0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</w:t>
            </w:r>
          </w:p>
        </w:tc>
        <w:tc>
          <w:tcPr>
            <w:tcW w:w="3875" w:type="dxa"/>
          </w:tcPr>
          <w:p w:rsidR="005C53EE" w:rsidRDefault="00FA6378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</w:t>
            </w:r>
          </w:p>
          <w:p w:rsidR="00FA6378" w:rsidRPr="00EC3321" w:rsidRDefault="00FA6378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</w:t>
            </w:r>
          </w:p>
        </w:tc>
      </w:tr>
      <w:tr w:rsidR="005C53EE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EC3321" w:rsidRDefault="00E04AC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texts (on foxes) topic books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Default="00FA6378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WW1 (topic books)</w:t>
            </w:r>
          </w:p>
        </w:tc>
      </w:tr>
      <w:tr w:rsidR="005C53EE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EC3321" w:rsidRDefault="00E04AC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poetry (Guided Reading)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Default="00FA6378" w:rsidP="006C7B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Flanders Fields</w:t>
            </w:r>
          </w:p>
        </w:tc>
      </w:tr>
      <w:tr w:rsidR="00EC3321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EC3321" w:rsidRPr="00E04AC1" w:rsidRDefault="00E04AC1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04AC1">
              <w:rPr>
                <w:sz w:val="20"/>
                <w:szCs w:val="20"/>
              </w:rPr>
              <w:t>Number and place value</w:t>
            </w:r>
          </w:p>
          <w:p w:rsidR="00E04AC1" w:rsidRPr="00E04AC1" w:rsidRDefault="00E04AC1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04AC1">
              <w:rPr>
                <w:sz w:val="20"/>
                <w:szCs w:val="20"/>
              </w:rPr>
              <w:t>Addition and subtraction</w:t>
            </w:r>
          </w:p>
          <w:p w:rsidR="00E04AC1" w:rsidRPr="004F052F" w:rsidRDefault="004F052F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Counting and comparing</w:t>
            </w:r>
          </w:p>
          <w:p w:rsidR="004F052F" w:rsidRPr="004F052F" w:rsidRDefault="004F052F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Properties of shapes</w:t>
            </w:r>
          </w:p>
          <w:p w:rsidR="004F052F" w:rsidRPr="004F052F" w:rsidRDefault="004F052F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Addition and subtraction</w:t>
            </w:r>
          </w:p>
          <w:p w:rsidR="004F052F" w:rsidRPr="00EC3321" w:rsidRDefault="004F052F" w:rsidP="00E04AC1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3875" w:type="dxa"/>
            <w:tcBorders>
              <w:left w:val="nil"/>
            </w:tcBorders>
          </w:tcPr>
          <w:p w:rsidR="00EC3321" w:rsidRPr="00EC3321" w:rsidRDefault="00EC3321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EC3321" w:rsidRDefault="004F052F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875" w:type="dxa"/>
          </w:tcPr>
          <w:p w:rsidR="00EC3321" w:rsidRPr="00EC3321" w:rsidRDefault="004A357D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4F052F" w:rsidRPr="00F64328" w:rsidRDefault="00406F73" w:rsidP="00F64328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  <w:lang w:eastAsia="en-GB"/>
              </w:rPr>
            </w:pPr>
            <w:r w:rsidRPr="00F64328">
              <w:rPr>
                <w:sz w:val="20"/>
                <w:szCs w:val="20"/>
                <w:lang w:eastAsia="en-GB"/>
              </w:rPr>
              <w:t>R</w:t>
            </w:r>
            <w:r w:rsidR="004F052F" w:rsidRPr="00F64328">
              <w:rPr>
                <w:sz w:val="20"/>
                <w:szCs w:val="20"/>
                <w:lang w:eastAsia="en-GB"/>
              </w:rPr>
              <w:t>ecognise that living things can be grouped in a variety of ways</w:t>
            </w:r>
          </w:p>
          <w:p w:rsidR="004F052F" w:rsidRPr="00F64328" w:rsidRDefault="00406F73" w:rsidP="00F64328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  <w:lang w:eastAsia="en-GB"/>
              </w:rPr>
            </w:pPr>
            <w:r w:rsidRPr="00F64328">
              <w:rPr>
                <w:sz w:val="20"/>
                <w:szCs w:val="20"/>
                <w:lang w:eastAsia="en-GB"/>
              </w:rPr>
              <w:t>E</w:t>
            </w:r>
            <w:r w:rsidR="004F052F" w:rsidRPr="00F64328">
              <w:rPr>
                <w:sz w:val="20"/>
                <w:szCs w:val="20"/>
                <w:lang w:eastAsia="en-GB"/>
              </w:rPr>
              <w:t>xplore and use classification keys to help group, identify and name a variety of living things in their local and wider environment</w:t>
            </w:r>
          </w:p>
          <w:p w:rsidR="004F052F" w:rsidRPr="00F64328" w:rsidRDefault="00406F73" w:rsidP="00F64328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  <w:lang w:eastAsia="en-GB"/>
              </w:rPr>
            </w:pPr>
            <w:r w:rsidRPr="00F64328">
              <w:rPr>
                <w:sz w:val="20"/>
                <w:szCs w:val="20"/>
                <w:lang w:eastAsia="en-GB"/>
              </w:rPr>
              <w:t>R</w:t>
            </w:r>
            <w:r w:rsidR="004F052F" w:rsidRPr="00F64328">
              <w:rPr>
                <w:sz w:val="20"/>
                <w:szCs w:val="20"/>
                <w:lang w:eastAsia="en-GB"/>
              </w:rPr>
              <w:t>ecognise that environments can change and that this can sometimes pose dangers to living things</w:t>
            </w:r>
          </w:p>
          <w:p w:rsidR="00EC3321" w:rsidRPr="004F052F" w:rsidRDefault="00406F73" w:rsidP="00F64328">
            <w:pPr>
              <w:pStyle w:val="NoSpacing"/>
              <w:numPr>
                <w:ilvl w:val="0"/>
                <w:numId w:val="26"/>
              </w:numPr>
            </w:pPr>
            <w:r w:rsidRPr="00F64328">
              <w:rPr>
                <w:sz w:val="20"/>
                <w:szCs w:val="20"/>
              </w:rPr>
              <w:t>C</w:t>
            </w:r>
            <w:r w:rsidR="004F052F" w:rsidRPr="00F64328">
              <w:rPr>
                <w:sz w:val="20"/>
                <w:szCs w:val="20"/>
              </w:rPr>
              <w:t>onstruct and interpret a variety of food chains, identifying producers, predators and prey</w:t>
            </w:r>
          </w:p>
        </w:tc>
        <w:tc>
          <w:tcPr>
            <w:tcW w:w="3875" w:type="dxa"/>
          </w:tcPr>
          <w:p w:rsidR="004A357D" w:rsidRPr="004A357D" w:rsidRDefault="00406F73" w:rsidP="004A357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A357D" w:rsidRPr="004A357D">
              <w:rPr>
                <w:sz w:val="20"/>
                <w:szCs w:val="20"/>
              </w:rPr>
              <w:t>ompare and group materials together, according to whether they are solids, liquids or gases</w:t>
            </w:r>
          </w:p>
          <w:p w:rsidR="004A357D" w:rsidRPr="004A357D" w:rsidRDefault="00406F73" w:rsidP="004A357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A357D" w:rsidRPr="004A357D">
              <w:rPr>
                <w:sz w:val="20"/>
                <w:szCs w:val="20"/>
              </w:rPr>
              <w:t>bserve that some materials change state when they are heated or cooled, and measure or research the temperature at which this happens in degrees Celsius (°C)</w:t>
            </w:r>
          </w:p>
          <w:p w:rsidR="00EC3321" w:rsidRPr="00EC3321" w:rsidRDefault="00406F73" w:rsidP="004A357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357D" w:rsidRPr="004A357D">
              <w:rPr>
                <w:sz w:val="20"/>
                <w:szCs w:val="20"/>
              </w:rPr>
              <w:t>dentify the part played by evaporation and condensation in the water cycle and associate the rate of evaporation with temperature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FA6378" w:rsidRPr="00687172" w:rsidRDefault="00FA6378" w:rsidP="00474D7F">
            <w:pPr>
              <w:pStyle w:val="NoSpacing"/>
              <w:rPr>
                <w:sz w:val="20"/>
                <w:szCs w:val="20"/>
              </w:rPr>
            </w:pPr>
            <w:r w:rsidRPr="00687172">
              <w:rPr>
                <w:sz w:val="20"/>
                <w:szCs w:val="20"/>
              </w:rPr>
              <w:t>Will chemicals in the water affect living moss ball?</w:t>
            </w:r>
          </w:p>
        </w:tc>
        <w:tc>
          <w:tcPr>
            <w:tcW w:w="3875" w:type="dxa"/>
          </w:tcPr>
          <w:p w:rsidR="004A357D" w:rsidRPr="00687172" w:rsidRDefault="004A357D" w:rsidP="004A357D">
            <w:pPr>
              <w:pStyle w:val="NoSpacing"/>
              <w:rPr>
                <w:sz w:val="20"/>
                <w:szCs w:val="20"/>
              </w:rPr>
            </w:pPr>
            <w:r w:rsidRPr="00687172">
              <w:rPr>
                <w:sz w:val="20"/>
                <w:szCs w:val="20"/>
              </w:rPr>
              <w:t>How long will it take for an ice</w:t>
            </w:r>
            <w:r w:rsidR="006C7BB2" w:rsidRPr="00687172">
              <w:rPr>
                <w:sz w:val="20"/>
                <w:szCs w:val="20"/>
              </w:rPr>
              <w:t xml:space="preserve"> </w:t>
            </w:r>
            <w:r w:rsidRPr="00687172">
              <w:rPr>
                <w:sz w:val="20"/>
                <w:szCs w:val="20"/>
              </w:rPr>
              <w:t>cube to change its state?</w:t>
            </w:r>
          </w:p>
          <w:p w:rsidR="004A357D" w:rsidRPr="00687172" w:rsidRDefault="004A357D" w:rsidP="004A357D">
            <w:pPr>
              <w:pStyle w:val="NoSpacing"/>
              <w:rPr>
                <w:sz w:val="20"/>
                <w:szCs w:val="20"/>
              </w:rPr>
            </w:pPr>
            <w:r w:rsidRPr="00687172">
              <w:rPr>
                <w:sz w:val="20"/>
                <w:szCs w:val="20"/>
              </w:rPr>
              <w:t>How to make melting snowmen biscuits.</w:t>
            </w:r>
          </w:p>
          <w:p w:rsidR="007B190C" w:rsidRPr="00687172" w:rsidRDefault="007B190C" w:rsidP="004A357D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EC3321" w:rsidRPr="00CD0BF0" w:rsidRDefault="00DE0813" w:rsidP="00474D7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D0BF0">
              <w:rPr>
                <w:color w:val="000000" w:themeColor="text1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3A0648" w:rsidRPr="003A0648" w:rsidRDefault="00863E2A" w:rsidP="00FE7E88">
            <w:pPr>
              <w:pStyle w:val="NoSpacing"/>
              <w:jc w:val="center"/>
              <w:rPr>
                <w:sz w:val="20"/>
                <w:szCs w:val="20"/>
              </w:rPr>
            </w:pPr>
            <w:r w:rsidRPr="003A0648">
              <w:rPr>
                <w:bCs/>
                <w:sz w:val="20"/>
                <w:szCs w:val="20"/>
              </w:rPr>
              <w:t>DIGITAL LITERACY AND ONLINE TECHNOLOGIES</w:t>
            </w:r>
            <w:r w:rsidR="003A0648" w:rsidRPr="003A0648">
              <w:rPr>
                <w:sz w:val="20"/>
                <w:szCs w:val="20"/>
              </w:rPr>
              <w:t>: Think!</w:t>
            </w:r>
          </w:p>
          <w:p w:rsidR="005C53EE" w:rsidRPr="003A0648" w:rsidRDefault="003A0648" w:rsidP="00FE7E88">
            <w:pPr>
              <w:pStyle w:val="NoSpacing"/>
              <w:jc w:val="center"/>
              <w:rPr>
                <w:sz w:val="20"/>
                <w:szCs w:val="20"/>
              </w:rPr>
            </w:pPr>
            <w:r w:rsidRPr="003A0648">
              <w:rPr>
                <w:sz w:val="20"/>
                <w:szCs w:val="20"/>
              </w:rPr>
              <w:t>M</w:t>
            </w:r>
            <w:r w:rsidR="00863E2A" w:rsidRPr="003A0648">
              <w:rPr>
                <w:sz w:val="20"/>
                <w:szCs w:val="20"/>
              </w:rPr>
              <w:t>aking sense of online content</w:t>
            </w:r>
          </w:p>
        </w:tc>
        <w:tc>
          <w:tcPr>
            <w:tcW w:w="3875" w:type="dxa"/>
          </w:tcPr>
          <w:p w:rsidR="00EC3321" w:rsidRPr="003A0648" w:rsidRDefault="00863E2A" w:rsidP="00FE7E8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3A0648">
              <w:rPr>
                <w:sz w:val="20"/>
                <w:szCs w:val="20"/>
              </w:rPr>
              <w:t>PROGRAMMING</w:t>
            </w:r>
            <w:r w:rsidR="003A0648" w:rsidRPr="003A0648">
              <w:rPr>
                <w:sz w:val="20"/>
                <w:szCs w:val="20"/>
              </w:rPr>
              <w:t xml:space="preserve">: </w:t>
            </w:r>
            <w:r w:rsidRPr="003A0648">
              <w:rPr>
                <w:bCs/>
                <w:sz w:val="20"/>
                <w:szCs w:val="20"/>
              </w:rPr>
              <w:t>E</w:t>
            </w:r>
            <w:r w:rsidR="003A0648" w:rsidRPr="003A0648">
              <w:rPr>
                <w:bCs/>
                <w:sz w:val="20"/>
                <w:szCs w:val="20"/>
              </w:rPr>
              <w:t>xplore</w:t>
            </w:r>
            <w:r w:rsidRPr="003A0648">
              <w:rPr>
                <w:bCs/>
                <w:sz w:val="20"/>
                <w:szCs w:val="20"/>
              </w:rPr>
              <w:t>!</w:t>
            </w:r>
          </w:p>
          <w:p w:rsidR="00863E2A" w:rsidRPr="003A0648" w:rsidRDefault="00863E2A" w:rsidP="00FE7E88">
            <w:pPr>
              <w:jc w:val="center"/>
              <w:rPr>
                <w:sz w:val="20"/>
                <w:szCs w:val="20"/>
              </w:rPr>
            </w:pPr>
            <w:r w:rsidRPr="003A0648">
              <w:rPr>
                <w:bCs/>
                <w:sz w:val="20"/>
                <w:szCs w:val="20"/>
              </w:rPr>
              <w:t>Create a Visual Display / Physical Model</w:t>
            </w:r>
          </w:p>
          <w:p w:rsidR="00863E2A" w:rsidRPr="003A0648" w:rsidRDefault="00863E2A" w:rsidP="00FE7E88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659D" w:rsidTr="00E90662">
        <w:tc>
          <w:tcPr>
            <w:tcW w:w="1890" w:type="dxa"/>
            <w:vMerge/>
            <w:textDirection w:val="btLr"/>
          </w:tcPr>
          <w:p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63E2A" w:rsidRPr="00FE7E88" w:rsidRDefault="00FE7E88" w:rsidP="003A0648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E7E88">
              <w:rPr>
                <w:sz w:val="20"/>
                <w:szCs w:val="20"/>
              </w:rPr>
              <w:t>U</w:t>
            </w:r>
            <w:r w:rsidR="00863E2A" w:rsidRPr="00FE7E88">
              <w:rPr>
                <w:sz w:val="20"/>
                <w:szCs w:val="20"/>
              </w:rPr>
              <w:t>se search technologies effectively, appreciate how results are selected and ranked, and be discerning in evaluating digital content</w:t>
            </w:r>
          </w:p>
          <w:p w:rsidR="00863E2A" w:rsidRPr="00FE7E88" w:rsidRDefault="00FE7E88" w:rsidP="003A0648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63E2A" w:rsidRPr="00FE7E88">
              <w:rPr>
                <w:sz w:val="20"/>
                <w:szCs w:val="20"/>
              </w:rPr>
              <w:t>se technology safely, respectfully and responsibly; recognise acceptable/unacceptable behaviour; identify a range of ways to report con</w:t>
            </w:r>
            <w:r>
              <w:rPr>
                <w:sz w:val="20"/>
                <w:szCs w:val="20"/>
              </w:rPr>
              <w:t>cerns about content and contact</w:t>
            </w:r>
          </w:p>
        </w:tc>
        <w:tc>
          <w:tcPr>
            <w:tcW w:w="3875" w:type="dxa"/>
          </w:tcPr>
          <w:p w:rsidR="00863E2A" w:rsidRPr="00FE7E88" w:rsidRDefault="00FE7E88" w:rsidP="003A0648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63E2A" w:rsidRPr="00FE7E88">
              <w:rPr>
                <w:sz w:val="20"/>
                <w:szCs w:val="20"/>
              </w:rPr>
              <w:t xml:space="preserve">esign, write and debug programs that accomplish specific goals, including controlling or simulating physical systems; solve problems by decomposing them into smaller parts </w:t>
            </w:r>
          </w:p>
          <w:p w:rsidR="00863E2A" w:rsidRPr="00FE7E88" w:rsidRDefault="00FE7E88" w:rsidP="003A0648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63E2A" w:rsidRPr="00FE7E88">
              <w:rPr>
                <w:sz w:val="20"/>
                <w:szCs w:val="20"/>
              </w:rPr>
              <w:t>se logical reasoning to explain how some simple algorithms work and to detect and correct errors in algorithms and programs</w:t>
            </w:r>
          </w:p>
          <w:p w:rsidR="00863E2A" w:rsidRPr="00FE7E88" w:rsidRDefault="00FE7E88" w:rsidP="00FE7E88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63E2A" w:rsidRPr="00FE7E88">
              <w:rPr>
                <w:sz w:val="20"/>
                <w:szCs w:val="20"/>
              </w:rPr>
              <w:t xml:space="preserve">se technology safely, respectfully and responsibly; recognise acceptable/unacceptable behaviour; </w:t>
            </w:r>
            <w:r w:rsidR="00863E2A" w:rsidRPr="00FE7E88">
              <w:rPr>
                <w:sz w:val="20"/>
                <w:szCs w:val="20"/>
              </w:rPr>
              <w:lastRenderedPageBreak/>
              <w:t>identify a range of ways to report con</w:t>
            </w:r>
            <w:r>
              <w:rPr>
                <w:sz w:val="20"/>
                <w:szCs w:val="20"/>
              </w:rPr>
              <w:t>cerns about content and contact</w:t>
            </w:r>
          </w:p>
        </w:tc>
      </w:tr>
      <w:tr w:rsidR="00EC3321" w:rsidTr="00E90662">
        <w:tc>
          <w:tcPr>
            <w:tcW w:w="1890" w:type="dxa"/>
            <w:vMerge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EC3321" w:rsidRPr="00EC3321" w:rsidRDefault="00863E2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SMART on-line</w:t>
            </w:r>
          </w:p>
        </w:tc>
        <w:tc>
          <w:tcPr>
            <w:tcW w:w="3875" w:type="dxa"/>
          </w:tcPr>
          <w:p w:rsidR="00EC3321" w:rsidRPr="002C0412" w:rsidRDefault="00BE22DC" w:rsidP="00474D7F">
            <w:pPr>
              <w:pStyle w:val="NoSpacing"/>
              <w:rPr>
                <w:sz w:val="20"/>
                <w:szCs w:val="20"/>
              </w:rPr>
            </w:pPr>
            <w:r w:rsidRPr="00BE22DC">
              <w:rPr>
                <w:sz w:val="20"/>
                <w:szCs w:val="20"/>
              </w:rPr>
              <w:t>Why is it not a good idea to give out personal information online?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B61DC4" w:rsidRDefault="00BE22DC" w:rsidP="00F643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foxes live?</w:t>
            </w:r>
            <w:r w:rsidR="00F64328">
              <w:rPr>
                <w:sz w:val="20"/>
                <w:szCs w:val="20"/>
              </w:rPr>
              <w:t xml:space="preserve"> </w:t>
            </w:r>
          </w:p>
          <w:p w:rsidR="005C53EE" w:rsidRPr="00EC3321" w:rsidRDefault="00F64328" w:rsidP="00F643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maps of England</w:t>
            </w:r>
            <w:r w:rsidR="00C07E74">
              <w:rPr>
                <w:sz w:val="20"/>
                <w:szCs w:val="20"/>
              </w:rPr>
              <w:t xml:space="preserve"> identify</w:t>
            </w:r>
            <w:r>
              <w:rPr>
                <w:sz w:val="20"/>
                <w:szCs w:val="20"/>
              </w:rPr>
              <w:t>ing</w:t>
            </w:r>
            <w:r w:rsidR="00C07E74">
              <w:rPr>
                <w:sz w:val="20"/>
                <w:szCs w:val="20"/>
              </w:rPr>
              <w:t xml:space="preserve"> woodlands, cities </w:t>
            </w:r>
            <w:r>
              <w:rPr>
                <w:sz w:val="20"/>
                <w:szCs w:val="20"/>
              </w:rPr>
              <w:t xml:space="preserve">and </w:t>
            </w:r>
            <w:r w:rsidR="00B61DC4">
              <w:rPr>
                <w:sz w:val="20"/>
                <w:szCs w:val="20"/>
              </w:rPr>
              <w:t>coastal areas</w:t>
            </w:r>
          </w:p>
        </w:tc>
        <w:tc>
          <w:tcPr>
            <w:tcW w:w="3875" w:type="dxa"/>
          </w:tcPr>
          <w:p w:rsidR="00EC3321" w:rsidRPr="00EC3321" w:rsidRDefault="00BE22DC" w:rsidP="00F6432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countries of the different allies on a map</w:t>
            </w:r>
          </w:p>
        </w:tc>
      </w:tr>
      <w:tr w:rsidR="00EC3321" w:rsidTr="00E90662">
        <w:tc>
          <w:tcPr>
            <w:tcW w:w="1890" w:type="dxa"/>
            <w:vMerge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:rsidR="00C07E74" w:rsidRPr="00F64328" w:rsidRDefault="00FE7E88" w:rsidP="00F6432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07E74" w:rsidRPr="00687172">
              <w:rPr>
                <w:sz w:val="20"/>
                <w:szCs w:val="20"/>
              </w:rPr>
              <w:t>ame and locate counties and cities of the United Kingdom, geographical regions and</w:t>
            </w:r>
            <w:r w:rsidR="00F64328">
              <w:rPr>
                <w:sz w:val="20"/>
                <w:szCs w:val="20"/>
              </w:rPr>
              <w:t xml:space="preserve"> </w:t>
            </w:r>
            <w:r w:rsidR="00C07E74" w:rsidRPr="00F64328">
              <w:rPr>
                <w:sz w:val="20"/>
                <w:szCs w:val="20"/>
              </w:rPr>
              <w:t>their identifying human and physical characteristics, key topographical features</w:t>
            </w:r>
          </w:p>
          <w:p w:rsidR="00687172" w:rsidRPr="00687172" w:rsidRDefault="00C07E74" w:rsidP="00C07E74">
            <w:pPr>
              <w:pStyle w:val="NoSpacing"/>
              <w:ind w:left="360"/>
              <w:rPr>
                <w:sz w:val="20"/>
                <w:szCs w:val="20"/>
              </w:rPr>
            </w:pPr>
            <w:r w:rsidRPr="00687172">
              <w:rPr>
                <w:sz w:val="20"/>
                <w:szCs w:val="20"/>
              </w:rPr>
              <w:t>(including hills, mountains, coasts and riv</w:t>
            </w:r>
            <w:r w:rsidR="00687172" w:rsidRPr="00687172">
              <w:rPr>
                <w:sz w:val="20"/>
                <w:szCs w:val="20"/>
              </w:rPr>
              <w:t>ers), and land-use patterns</w:t>
            </w:r>
          </w:p>
          <w:p w:rsidR="00385B73" w:rsidRPr="00687172" w:rsidRDefault="00FE7E88" w:rsidP="00687172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07E74" w:rsidRPr="00687172">
              <w:rPr>
                <w:sz w:val="20"/>
                <w:szCs w:val="20"/>
              </w:rPr>
              <w:t>nderstand</w:t>
            </w:r>
            <w:r w:rsidR="00687172" w:rsidRPr="00687172">
              <w:rPr>
                <w:sz w:val="20"/>
                <w:szCs w:val="20"/>
              </w:rPr>
              <w:t xml:space="preserve"> </w:t>
            </w:r>
            <w:r w:rsidR="00C07E74" w:rsidRPr="00687172">
              <w:rPr>
                <w:sz w:val="20"/>
                <w:szCs w:val="20"/>
              </w:rPr>
              <w:t>how some of these aspects have changed over time</w:t>
            </w:r>
          </w:p>
        </w:tc>
        <w:tc>
          <w:tcPr>
            <w:tcW w:w="3875" w:type="dxa"/>
          </w:tcPr>
          <w:p w:rsidR="00E90662" w:rsidRPr="00FE7E88" w:rsidRDefault="00FE7E88" w:rsidP="00FE7E8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C7BB2" w:rsidRPr="00687172">
              <w:rPr>
                <w:sz w:val="20"/>
                <w:szCs w:val="20"/>
              </w:rPr>
              <w:t>ocate the world’s countries, using maps to focus on Europe (including the location of</w:t>
            </w:r>
            <w:r>
              <w:rPr>
                <w:sz w:val="20"/>
                <w:szCs w:val="20"/>
              </w:rPr>
              <w:t xml:space="preserve"> </w:t>
            </w:r>
            <w:r w:rsidR="006C7BB2" w:rsidRPr="00FE7E88">
              <w:rPr>
                <w:sz w:val="20"/>
                <w:szCs w:val="20"/>
              </w:rPr>
              <w:t>Russia) and North and South America, concentrating on their environmental regions,</w:t>
            </w:r>
            <w:r>
              <w:rPr>
                <w:sz w:val="20"/>
                <w:szCs w:val="20"/>
              </w:rPr>
              <w:t xml:space="preserve"> </w:t>
            </w:r>
            <w:r w:rsidR="006C7BB2" w:rsidRPr="00FE7E88">
              <w:rPr>
                <w:sz w:val="20"/>
                <w:szCs w:val="20"/>
              </w:rPr>
              <w:t>key physical and human characteristics, countries, and major cities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5C53EE" w:rsidRPr="00EC3321" w:rsidRDefault="005C53EE" w:rsidP="00FE7E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17B2C" w:rsidRPr="00517B2C" w:rsidRDefault="00517B2C" w:rsidP="00F64328">
            <w:pPr>
              <w:pStyle w:val="NoSpacing"/>
              <w:jc w:val="center"/>
              <w:rPr>
                <w:sz w:val="20"/>
                <w:szCs w:val="20"/>
              </w:rPr>
            </w:pPr>
            <w:r w:rsidRPr="00517B2C">
              <w:rPr>
                <w:sz w:val="20"/>
                <w:szCs w:val="20"/>
              </w:rPr>
              <w:t>‘World War 1’</w:t>
            </w:r>
            <w:r>
              <w:rPr>
                <w:sz w:val="20"/>
                <w:szCs w:val="20"/>
              </w:rPr>
              <w:t xml:space="preserve"> western front and home front</w:t>
            </w:r>
          </w:p>
        </w:tc>
      </w:tr>
      <w:tr w:rsidR="00EC3321" w:rsidTr="00E90662">
        <w:tc>
          <w:tcPr>
            <w:tcW w:w="1890" w:type="dxa"/>
            <w:vMerge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114626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6C7BB2" w:rsidRPr="00687172" w:rsidRDefault="002C4702" w:rsidP="002C4702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6C7BB2" w:rsidRPr="00687172">
              <w:rPr>
                <w:sz w:val="20"/>
                <w:szCs w:val="20"/>
              </w:rPr>
              <w:t>udy of an aspect or theme in British history that extends pupils’ chronological knowledge beyond 1066</w:t>
            </w:r>
          </w:p>
          <w:p w:rsidR="00EC3321" w:rsidRPr="00EC3321" w:rsidRDefault="002C4702" w:rsidP="002C4702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a </w:t>
            </w:r>
            <w:r w:rsidR="006C7BB2" w:rsidRPr="00687172">
              <w:rPr>
                <w:sz w:val="20"/>
                <w:szCs w:val="20"/>
              </w:rPr>
              <w:t>significant turning point in British history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5C53EE" w:rsidRPr="00EC3321" w:rsidRDefault="00517B2C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3875" w:type="dxa"/>
          </w:tcPr>
          <w:p w:rsidR="00EC3321" w:rsidRPr="00EC3321" w:rsidRDefault="00F83619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</w:tr>
      <w:tr w:rsidR="00EC3321" w:rsidTr="00E90662">
        <w:tc>
          <w:tcPr>
            <w:tcW w:w="1890" w:type="dxa"/>
            <w:vMerge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A40AA" w:rsidRPr="00687172" w:rsidRDefault="00FE7E88" w:rsidP="009A40AA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A40AA" w:rsidRPr="00687172">
              <w:rPr>
                <w:sz w:val="20"/>
                <w:szCs w:val="20"/>
              </w:rPr>
              <w:t>se running, jumping, throwing and catching in isolation and in combination</w:t>
            </w:r>
          </w:p>
          <w:p w:rsidR="005C53EE" w:rsidRPr="00687172" w:rsidRDefault="00FE7E88" w:rsidP="00474D7F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40AA" w:rsidRPr="00687172">
              <w:rPr>
                <w:sz w:val="20"/>
                <w:szCs w:val="20"/>
              </w:rPr>
              <w:t>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3875" w:type="dxa"/>
          </w:tcPr>
          <w:p w:rsidR="00114626" w:rsidRPr="00687172" w:rsidRDefault="00FE7E88" w:rsidP="009A40AA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83619" w:rsidRPr="00687172">
              <w:rPr>
                <w:sz w:val="20"/>
                <w:szCs w:val="20"/>
              </w:rPr>
              <w:t xml:space="preserve">evelop flexibility, strength, technique, control and balance </w:t>
            </w:r>
            <w:r w:rsidR="00B61DC4">
              <w:rPr>
                <w:sz w:val="20"/>
                <w:szCs w:val="20"/>
              </w:rPr>
              <w:t>(</w:t>
            </w:r>
            <w:r w:rsidR="00F83619" w:rsidRPr="00687172">
              <w:rPr>
                <w:sz w:val="20"/>
                <w:szCs w:val="20"/>
              </w:rPr>
              <w:t>for example, through athletics and gymn</w:t>
            </w:r>
            <w:r w:rsidR="00B61DC4">
              <w:rPr>
                <w:sz w:val="20"/>
                <w:szCs w:val="20"/>
              </w:rPr>
              <w:t>astics)</w:t>
            </w:r>
          </w:p>
          <w:p w:rsidR="00F83619" w:rsidRPr="00687172" w:rsidRDefault="00FE7E88" w:rsidP="00FE7E8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83619" w:rsidRPr="00687172">
              <w:rPr>
                <w:sz w:val="20"/>
                <w:szCs w:val="20"/>
              </w:rPr>
              <w:t xml:space="preserve">ompare performances with previous ones and demonstrate improvement to achieve </w:t>
            </w:r>
            <w:r>
              <w:rPr>
                <w:sz w:val="20"/>
                <w:szCs w:val="20"/>
              </w:rPr>
              <w:t xml:space="preserve">a </w:t>
            </w:r>
            <w:r w:rsidR="00B61DC4">
              <w:rPr>
                <w:sz w:val="20"/>
                <w:szCs w:val="20"/>
              </w:rPr>
              <w:t>personal best</w:t>
            </w:r>
          </w:p>
        </w:tc>
      </w:tr>
      <w:tr w:rsidR="003A72E5" w:rsidTr="00E90662">
        <w:tc>
          <w:tcPr>
            <w:tcW w:w="1890" w:type="dxa"/>
            <w:vMerge w:val="restart"/>
            <w:textDirection w:val="btLr"/>
          </w:tcPr>
          <w:p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5C53EE" w:rsidRPr="00EC3321" w:rsidRDefault="00F83619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Pictures</w:t>
            </w:r>
          </w:p>
        </w:tc>
        <w:tc>
          <w:tcPr>
            <w:tcW w:w="3875" w:type="dxa"/>
          </w:tcPr>
          <w:p w:rsidR="003A72E5" w:rsidRPr="00EC3321" w:rsidRDefault="00517B2C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of poppies for Remembrance Day</w:t>
            </w:r>
          </w:p>
        </w:tc>
      </w:tr>
      <w:tr w:rsidR="003A72E5" w:rsidTr="00E90662">
        <w:tc>
          <w:tcPr>
            <w:tcW w:w="1890" w:type="dxa"/>
            <w:vMerge/>
          </w:tcPr>
          <w:p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87172" w:rsidRDefault="00687172" w:rsidP="00687172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83619" w:rsidRPr="00687172">
              <w:rPr>
                <w:sz w:val="20"/>
                <w:szCs w:val="20"/>
              </w:rPr>
              <w:t xml:space="preserve">reate sketch books to record observations and to review and revisit ideas </w:t>
            </w:r>
          </w:p>
          <w:p w:rsidR="00687172" w:rsidRDefault="00687172" w:rsidP="002C4702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83619" w:rsidRPr="00687172">
              <w:rPr>
                <w:sz w:val="20"/>
                <w:szCs w:val="20"/>
              </w:rPr>
              <w:t xml:space="preserve">mprove mastery of art and design techniques, including drawing, painting and sculpture with a range of materials </w:t>
            </w:r>
          </w:p>
          <w:p w:rsidR="003A72E5" w:rsidRPr="00687172" w:rsidRDefault="00687172" w:rsidP="00687172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</w:t>
            </w:r>
            <w:r w:rsidR="00F83619" w:rsidRPr="00687172">
              <w:rPr>
                <w:sz w:val="20"/>
                <w:szCs w:val="20"/>
              </w:rPr>
              <w:t xml:space="preserve">bout </w:t>
            </w:r>
            <w:r>
              <w:rPr>
                <w:sz w:val="20"/>
                <w:szCs w:val="20"/>
              </w:rPr>
              <w:t xml:space="preserve">the lives of </w:t>
            </w:r>
            <w:r w:rsidR="00F83619" w:rsidRPr="00687172">
              <w:rPr>
                <w:sz w:val="20"/>
                <w:szCs w:val="20"/>
              </w:rPr>
              <w:t>great artists, arch</w:t>
            </w:r>
            <w:r>
              <w:rPr>
                <w:sz w:val="20"/>
                <w:szCs w:val="20"/>
              </w:rPr>
              <w:t>itects and designers in history</w:t>
            </w:r>
          </w:p>
        </w:tc>
        <w:tc>
          <w:tcPr>
            <w:tcW w:w="3875" w:type="dxa"/>
          </w:tcPr>
          <w:p w:rsidR="003A72E5" w:rsidRPr="00687172" w:rsidRDefault="00687172" w:rsidP="00687172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20CC3">
              <w:rPr>
                <w:sz w:val="20"/>
                <w:szCs w:val="20"/>
              </w:rPr>
              <w:t xml:space="preserve">mprove </w:t>
            </w:r>
            <w:r w:rsidR="00BE22DC" w:rsidRPr="00687172">
              <w:rPr>
                <w:sz w:val="20"/>
                <w:szCs w:val="20"/>
              </w:rPr>
              <w:t>mastery of art and design techniques, including drawing, painting and</w:t>
            </w:r>
            <w:r>
              <w:rPr>
                <w:sz w:val="20"/>
                <w:szCs w:val="20"/>
              </w:rPr>
              <w:t xml:space="preserve"> </w:t>
            </w:r>
            <w:r w:rsidR="00BE22DC" w:rsidRPr="00687172">
              <w:rPr>
                <w:sz w:val="20"/>
                <w:szCs w:val="20"/>
              </w:rPr>
              <w:t>sculp</w:t>
            </w:r>
            <w:r>
              <w:rPr>
                <w:sz w:val="20"/>
                <w:szCs w:val="20"/>
              </w:rPr>
              <w:t xml:space="preserve">ture with a range of materials </w:t>
            </w:r>
          </w:p>
        </w:tc>
      </w:tr>
      <w:tr w:rsidR="00E1456B" w:rsidTr="00E90662">
        <w:tc>
          <w:tcPr>
            <w:tcW w:w="1890" w:type="dxa"/>
            <w:vMerge w:val="restart"/>
            <w:textDirection w:val="btLr"/>
          </w:tcPr>
          <w:p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C4702" w:rsidRDefault="002C4702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make a worry doll</w:t>
            </w:r>
          </w:p>
          <w:p w:rsidR="002C4702" w:rsidRDefault="002C4702" w:rsidP="00FE7E8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A40AA" w:rsidRPr="00EC3321" w:rsidRDefault="002C4702" w:rsidP="00FE7E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linked to</w:t>
            </w:r>
            <w:r w:rsidR="009A40AA">
              <w:rPr>
                <w:sz w:val="20"/>
                <w:szCs w:val="20"/>
              </w:rPr>
              <w:t xml:space="preserve"> Roald Dahl Day</w:t>
            </w:r>
          </w:p>
        </w:tc>
        <w:tc>
          <w:tcPr>
            <w:tcW w:w="3875" w:type="dxa"/>
          </w:tcPr>
          <w:p w:rsidR="00E1456B" w:rsidRPr="00EC3321" w:rsidRDefault="00E1456B" w:rsidP="00FE7E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1456B" w:rsidTr="00E90662">
        <w:tc>
          <w:tcPr>
            <w:tcW w:w="1890" w:type="dxa"/>
            <w:vMerge/>
          </w:tcPr>
          <w:p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E1456B" w:rsidRPr="008C27E7" w:rsidRDefault="00FE7E88" w:rsidP="002C4702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C27E7" w:rsidRPr="008C27E7">
              <w:rPr>
                <w:sz w:val="20"/>
                <w:szCs w:val="20"/>
              </w:rPr>
              <w:t>elect from</w:t>
            </w:r>
            <w:r w:rsidR="002C4702">
              <w:rPr>
                <w:sz w:val="20"/>
                <w:szCs w:val="20"/>
              </w:rPr>
              <w:t>,</w:t>
            </w:r>
            <w:r w:rsidR="008C27E7" w:rsidRPr="008C27E7">
              <w:rPr>
                <w:sz w:val="20"/>
                <w:szCs w:val="20"/>
              </w:rPr>
              <w:t xml:space="preserve"> and use</w:t>
            </w:r>
            <w:r w:rsidR="002C4702">
              <w:rPr>
                <w:sz w:val="20"/>
                <w:szCs w:val="20"/>
              </w:rPr>
              <w:t>,</w:t>
            </w:r>
            <w:r w:rsidR="008C27E7" w:rsidRPr="008C27E7">
              <w:rPr>
                <w:sz w:val="20"/>
                <w:szCs w:val="20"/>
              </w:rPr>
              <w:t xml:space="preserve">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875" w:type="dxa"/>
          </w:tcPr>
          <w:p w:rsidR="00E1456B" w:rsidRDefault="00E1456B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102F2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102F2" w:rsidRPr="00EC3321" w:rsidRDefault="00620CC3" w:rsidP="00620CC3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102F2" w:rsidRDefault="00863E2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Saint-Saens Carnival of the Animals</w:t>
            </w:r>
          </w:p>
          <w:p w:rsidR="00863E2A" w:rsidRPr="00EC3321" w:rsidRDefault="00863E2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 own animal compositions</w:t>
            </w:r>
          </w:p>
        </w:tc>
        <w:tc>
          <w:tcPr>
            <w:tcW w:w="3875" w:type="dxa"/>
          </w:tcPr>
          <w:p w:rsidR="00E102F2" w:rsidRDefault="003A0648" w:rsidP="003A0648">
            <w:pPr>
              <w:pStyle w:val="NoSpacing"/>
              <w:tabs>
                <w:tab w:val="right" w:pos="3659"/>
              </w:tabs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Archie Dobson’s War</w:t>
            </w:r>
          </w:p>
          <w:p w:rsidR="00620CC3" w:rsidRDefault="00620CC3" w:rsidP="003A0648">
            <w:pPr>
              <w:pStyle w:val="NoSpacing"/>
              <w:tabs>
                <w:tab w:val="right" w:pos="3659"/>
              </w:tabs>
              <w:rPr>
                <w:color w:val="000000" w:themeColor="text1"/>
                <w:sz w:val="20"/>
                <w:szCs w:val="20"/>
              </w:rPr>
            </w:pPr>
          </w:p>
          <w:p w:rsidR="00620CC3" w:rsidRPr="000E7367" w:rsidRDefault="00620CC3" w:rsidP="003A0648">
            <w:pPr>
              <w:pStyle w:val="NoSpacing"/>
              <w:tabs>
                <w:tab w:val="right" w:pos="3659"/>
              </w:tabs>
              <w:rPr>
                <w:color w:val="000000" w:themeColor="text1"/>
                <w:sz w:val="20"/>
                <w:szCs w:val="20"/>
              </w:rPr>
            </w:pPr>
          </w:p>
          <w:p w:rsidR="00D36283" w:rsidRPr="00114626" w:rsidRDefault="00D36283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102F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114626" w:rsidRPr="00FE7E88" w:rsidRDefault="00FE7E88" w:rsidP="000E7367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63E2A" w:rsidRPr="00FE7E88">
              <w:rPr>
                <w:sz w:val="20"/>
                <w:szCs w:val="20"/>
              </w:rPr>
              <w:t xml:space="preserve">ppreciate and understand a wide range of high-quality recorded music drawn from great composers </w:t>
            </w:r>
          </w:p>
          <w:p w:rsidR="00863E2A" w:rsidRPr="00FE7E88" w:rsidRDefault="00FE7E88" w:rsidP="000E7367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63E2A" w:rsidRPr="00FE7E88">
              <w:rPr>
                <w:sz w:val="20"/>
                <w:szCs w:val="20"/>
              </w:rPr>
              <w:t>mprovise and compose music for a range of purposes using the inter-related dimensions of music</w:t>
            </w:r>
          </w:p>
        </w:tc>
        <w:tc>
          <w:tcPr>
            <w:tcW w:w="3875" w:type="dxa"/>
          </w:tcPr>
          <w:p w:rsidR="003A0648" w:rsidRPr="00FE7E88" w:rsidRDefault="00FE7E88" w:rsidP="000E7367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A0648" w:rsidRPr="00FE7E88">
              <w:rPr>
                <w:sz w:val="20"/>
                <w:szCs w:val="20"/>
              </w:rPr>
              <w:t>isten with attention to detail and recall sounds with increasing aural memory</w:t>
            </w:r>
          </w:p>
          <w:p w:rsidR="00114626" w:rsidRPr="00FE7E88" w:rsidRDefault="00FE7E88" w:rsidP="000E7367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0648" w:rsidRPr="00FE7E88">
              <w:rPr>
                <w:sz w:val="20"/>
                <w:szCs w:val="20"/>
              </w:rPr>
              <w:t xml:space="preserve">lay and perform in solo and ensemble contexts, using their voices and playing musical instruments with increasing accuracy, fluency, control and expression </w:t>
            </w:r>
          </w:p>
        </w:tc>
      </w:tr>
      <w:tr w:rsidR="00F64328" w:rsidTr="0017675E">
        <w:trPr>
          <w:cantSplit/>
          <w:trHeight w:val="800"/>
        </w:trPr>
        <w:tc>
          <w:tcPr>
            <w:tcW w:w="3308" w:type="dxa"/>
            <w:gridSpan w:val="2"/>
            <w:textDirection w:val="btLr"/>
          </w:tcPr>
          <w:p w:rsidR="00F64328" w:rsidRPr="000E7367" w:rsidRDefault="00F64328" w:rsidP="00F6432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PSHE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F64328" w:rsidRPr="000E7367" w:rsidRDefault="00F64328" w:rsidP="00FE7E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Bullying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F64328" w:rsidRPr="000E7367" w:rsidRDefault="00F64328" w:rsidP="00FE7E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Protective Behaviours</w:t>
            </w:r>
          </w:p>
        </w:tc>
      </w:tr>
      <w:tr w:rsidR="00F64328" w:rsidTr="00556610">
        <w:trPr>
          <w:cantSplit/>
          <w:trHeight w:val="929"/>
        </w:trPr>
        <w:tc>
          <w:tcPr>
            <w:tcW w:w="3308" w:type="dxa"/>
            <w:gridSpan w:val="2"/>
            <w:textDirection w:val="btLr"/>
          </w:tcPr>
          <w:p w:rsidR="00F64328" w:rsidRPr="000E7367" w:rsidRDefault="00F64328" w:rsidP="00F6432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3874" w:type="dxa"/>
          </w:tcPr>
          <w:p w:rsidR="00F64328" w:rsidRPr="000E7367" w:rsidRDefault="00F64328" w:rsidP="00FE7E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Greetings in different languages</w:t>
            </w:r>
          </w:p>
        </w:tc>
        <w:tc>
          <w:tcPr>
            <w:tcW w:w="3875" w:type="dxa"/>
          </w:tcPr>
          <w:p w:rsidR="00F64328" w:rsidRPr="000E7367" w:rsidRDefault="00F64328" w:rsidP="00FE7E8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 w:rsidRPr="000E7367">
              <w:rPr>
                <w:color w:val="000000" w:themeColor="text1"/>
                <w:sz w:val="20"/>
                <w:szCs w:val="20"/>
              </w:rPr>
              <w:t>animaux</w:t>
            </w:r>
            <w:proofErr w:type="spellEnd"/>
          </w:p>
        </w:tc>
      </w:tr>
      <w:tr w:rsidR="00114626" w:rsidTr="00E90662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:rsidR="00114626" w:rsidRPr="000E7367" w:rsidRDefault="00114626" w:rsidP="00474D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:rsidR="00114626" w:rsidRPr="000E7367" w:rsidRDefault="00114626" w:rsidP="00E9066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75" w:type="dxa"/>
          </w:tcPr>
          <w:p w:rsidR="00114626" w:rsidRPr="000E7367" w:rsidRDefault="005C53EE" w:rsidP="00863E2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E7367">
              <w:rPr>
                <w:color w:val="000000" w:themeColor="text1"/>
                <w:sz w:val="20"/>
                <w:szCs w:val="20"/>
              </w:rPr>
              <w:t>Key question:</w:t>
            </w:r>
            <w:r w:rsidR="00863E2A" w:rsidRPr="000E7367">
              <w:rPr>
                <w:color w:val="000000" w:themeColor="text1"/>
                <w:sz w:val="20"/>
                <w:szCs w:val="20"/>
              </w:rPr>
              <w:t xml:space="preserve"> Why do people pray?</w:t>
            </w:r>
          </w:p>
        </w:tc>
      </w:tr>
      <w:tr w:rsidR="005C53EE" w:rsidTr="00E90662">
        <w:tc>
          <w:tcPr>
            <w:tcW w:w="1890" w:type="dxa"/>
            <w:vMerge w:val="restart"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5C53EE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Kenning week one</w:t>
            </w:r>
          </w:p>
          <w:p w:rsidR="005C53EE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week one  (getting to know you)</w:t>
            </w:r>
          </w:p>
          <w:p w:rsidR="00D36283" w:rsidRPr="00F01B8F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in science</w:t>
            </w:r>
          </w:p>
        </w:tc>
        <w:tc>
          <w:tcPr>
            <w:tcW w:w="3875" w:type="dxa"/>
          </w:tcPr>
          <w:p w:rsidR="005C53EE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 in topic</w:t>
            </w:r>
          </w:p>
          <w:p w:rsidR="00D36283" w:rsidRPr="00F01B8F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Chronological report topic</w:t>
            </w:r>
          </w:p>
        </w:tc>
      </w:tr>
      <w:tr w:rsidR="005C53EE" w:rsidTr="00E90662">
        <w:tc>
          <w:tcPr>
            <w:tcW w:w="1890" w:type="dxa"/>
            <w:vMerge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5C53EE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in topic</w:t>
            </w:r>
          </w:p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C53EE" w:rsidRDefault="00D3628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 topic</w:t>
            </w:r>
          </w:p>
          <w:p w:rsidR="003A0648" w:rsidRPr="00EC3321" w:rsidRDefault="003A0648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scales in Science</w:t>
            </w:r>
          </w:p>
        </w:tc>
      </w:tr>
      <w:tr w:rsidR="005C53EE" w:rsidTr="00E90662">
        <w:tc>
          <w:tcPr>
            <w:tcW w:w="1890" w:type="dxa"/>
            <w:vMerge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5C53EE" w:rsidRDefault="003A0648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compositions (music)</w:t>
            </w:r>
          </w:p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F45A5" w:rsidRDefault="006F45A5" w:rsidP="000D6755">
      <w:pPr>
        <w:pStyle w:val="NoSpacing"/>
      </w:pPr>
    </w:p>
    <w:p w:rsidR="000D6755" w:rsidRDefault="000D6755" w:rsidP="000D6755">
      <w:pPr>
        <w:pStyle w:val="NoSpacing"/>
      </w:pPr>
    </w:p>
    <w:sectPr w:rsidR="000D6755" w:rsidSect="00EC3321">
      <w:headerReference w:type="default" r:id="rId8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0A" w:rsidRDefault="00866A0A" w:rsidP="000D6755">
      <w:pPr>
        <w:spacing w:after="0" w:line="240" w:lineRule="auto"/>
      </w:pPr>
      <w:r>
        <w:separator/>
      </w:r>
    </w:p>
  </w:endnote>
  <w:endnote w:type="continuationSeparator" w:id="0">
    <w:p w:rsidR="00866A0A" w:rsidRDefault="00866A0A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0A" w:rsidRDefault="00866A0A" w:rsidP="000D6755">
      <w:pPr>
        <w:spacing w:after="0" w:line="240" w:lineRule="auto"/>
      </w:pPr>
      <w:r>
        <w:separator/>
      </w:r>
    </w:p>
  </w:footnote>
  <w:footnote w:type="continuationSeparator" w:id="0">
    <w:p w:rsidR="00866A0A" w:rsidRDefault="00866A0A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5" w:rsidRDefault="00C10D50" w:rsidP="007A6E8B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62DB09A" wp14:editId="31DCD8B1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7A6E8B">
      <w:rPr>
        <w:u w:val="single"/>
      </w:rPr>
      <w:t>ear</w:t>
    </w:r>
    <w:r w:rsidR="007B190C">
      <w:rPr>
        <w:u w:val="single"/>
      </w:rPr>
      <w:t xml:space="preserve"> </w:t>
    </w:r>
    <w:r w:rsidR="007A6E8B">
      <w:rPr>
        <w:u w:val="single"/>
      </w:rPr>
      <w:t xml:space="preserve">4 Autumn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7A6E8B">
      <w:rPr>
        <w:u w:val="single"/>
      </w:rPr>
      <w:t xml:space="preserve"> 2018 – 2019</w:t>
    </w:r>
  </w:p>
  <w:p w:rsidR="007A6E8B" w:rsidRPr="007A6E8B" w:rsidRDefault="007A6E8B" w:rsidP="007A6E8B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BC8"/>
    <w:multiLevelType w:val="hybridMultilevel"/>
    <w:tmpl w:val="287E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11D3B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F7300"/>
    <w:multiLevelType w:val="hybridMultilevel"/>
    <w:tmpl w:val="4970A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C5EBD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D3267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1E0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17D1E"/>
    <w:multiLevelType w:val="multilevel"/>
    <w:tmpl w:val="783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20738"/>
    <w:multiLevelType w:val="hybridMultilevel"/>
    <w:tmpl w:val="20E8C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E0C25"/>
    <w:multiLevelType w:val="hybridMultilevel"/>
    <w:tmpl w:val="4712F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54B56"/>
    <w:multiLevelType w:val="hybridMultilevel"/>
    <w:tmpl w:val="DB04A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5619D"/>
    <w:multiLevelType w:val="hybridMultilevel"/>
    <w:tmpl w:val="6F127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18"/>
  </w:num>
  <w:num w:numId="13">
    <w:abstractNumId w:val="22"/>
  </w:num>
  <w:num w:numId="14">
    <w:abstractNumId w:val="17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9"/>
  </w:num>
  <w:num w:numId="20">
    <w:abstractNumId w:val="1"/>
  </w:num>
  <w:num w:numId="21">
    <w:abstractNumId w:val="24"/>
  </w:num>
  <w:num w:numId="22">
    <w:abstractNumId w:val="3"/>
  </w:num>
  <w:num w:numId="23">
    <w:abstractNumId w:val="25"/>
  </w:num>
  <w:num w:numId="24">
    <w:abstractNumId w:val="0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52E69"/>
    <w:rsid w:val="000D6755"/>
    <w:rsid w:val="000E7367"/>
    <w:rsid w:val="00114626"/>
    <w:rsid w:val="001462C6"/>
    <w:rsid w:val="001D6B90"/>
    <w:rsid w:val="002C0412"/>
    <w:rsid w:val="002C4702"/>
    <w:rsid w:val="002D71EC"/>
    <w:rsid w:val="00384908"/>
    <w:rsid w:val="00385B73"/>
    <w:rsid w:val="003A0648"/>
    <w:rsid w:val="003A185F"/>
    <w:rsid w:val="003A72E5"/>
    <w:rsid w:val="003D0081"/>
    <w:rsid w:val="00406F73"/>
    <w:rsid w:val="00452EA7"/>
    <w:rsid w:val="00474D7F"/>
    <w:rsid w:val="004A357D"/>
    <w:rsid w:val="004B1B1A"/>
    <w:rsid w:val="004D2D8F"/>
    <w:rsid w:val="004F052F"/>
    <w:rsid w:val="00517B2C"/>
    <w:rsid w:val="005761EA"/>
    <w:rsid w:val="005C53EE"/>
    <w:rsid w:val="005D58C6"/>
    <w:rsid w:val="00620CC3"/>
    <w:rsid w:val="00667D9F"/>
    <w:rsid w:val="00687172"/>
    <w:rsid w:val="006C015E"/>
    <w:rsid w:val="006C7BB2"/>
    <w:rsid w:val="006E557D"/>
    <w:rsid w:val="006F45A5"/>
    <w:rsid w:val="007213F9"/>
    <w:rsid w:val="00742B12"/>
    <w:rsid w:val="007A6E8B"/>
    <w:rsid w:val="007B190C"/>
    <w:rsid w:val="007B397F"/>
    <w:rsid w:val="007D4769"/>
    <w:rsid w:val="008526D3"/>
    <w:rsid w:val="00863E2A"/>
    <w:rsid w:val="00866A0A"/>
    <w:rsid w:val="0086728D"/>
    <w:rsid w:val="008C27E7"/>
    <w:rsid w:val="00934AD8"/>
    <w:rsid w:val="00934B4F"/>
    <w:rsid w:val="009809F1"/>
    <w:rsid w:val="00991405"/>
    <w:rsid w:val="009A40AA"/>
    <w:rsid w:val="00A21E01"/>
    <w:rsid w:val="00A8157A"/>
    <w:rsid w:val="00AD207F"/>
    <w:rsid w:val="00B61DC4"/>
    <w:rsid w:val="00BE22DC"/>
    <w:rsid w:val="00C07E74"/>
    <w:rsid w:val="00C10D50"/>
    <w:rsid w:val="00C63B84"/>
    <w:rsid w:val="00CB742C"/>
    <w:rsid w:val="00CD0BF0"/>
    <w:rsid w:val="00D356AD"/>
    <w:rsid w:val="00D36283"/>
    <w:rsid w:val="00DC451C"/>
    <w:rsid w:val="00DE0813"/>
    <w:rsid w:val="00E04AC1"/>
    <w:rsid w:val="00E04BDD"/>
    <w:rsid w:val="00E102F2"/>
    <w:rsid w:val="00E1456B"/>
    <w:rsid w:val="00E677F2"/>
    <w:rsid w:val="00E7659D"/>
    <w:rsid w:val="00E90662"/>
    <w:rsid w:val="00EC3321"/>
    <w:rsid w:val="00F01B8F"/>
    <w:rsid w:val="00F47023"/>
    <w:rsid w:val="00F64328"/>
    <w:rsid w:val="00F83619"/>
    <w:rsid w:val="00F8421A"/>
    <w:rsid w:val="00FA6378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9</cp:revision>
  <cp:lastPrinted>2018-09-24T14:15:00Z</cp:lastPrinted>
  <dcterms:created xsi:type="dcterms:W3CDTF">2018-09-17T14:12:00Z</dcterms:created>
  <dcterms:modified xsi:type="dcterms:W3CDTF">2018-09-24T14:16:00Z</dcterms:modified>
</cp:coreProperties>
</file>